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docProps/custom.xml" ContentType="application/vnd.openxmlformats-officedocument.custom-properties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-756285</wp:posOffset>
                </wp:positionH>
                <wp:positionV relativeFrom="margin">
                  <wp:posOffset>622935</wp:posOffset>
                </wp:positionV>
                <wp:extent cx="6838950" cy="4448175"/>
                <wp:effectExtent l="19050" t="0" r="0" b="0"/>
                <wp:wrapSquare wrapText="bothSides"/>
                <wp:docPr id="1" name="Рисунок 1" descr="MM_shadow-people-illu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MM_shadow-people-illus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6838950" cy="444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59264;o:allowoverlap:true;o:allowincell:true;mso-position-horizontal-relative:margin;margin-left:-59.55pt;mso-position-horizontal:absolute;mso-position-vertical-relative:margin;margin-top:49.05pt;mso-position-vertical:absolute;width:538.50pt;height:350.25pt;mso-wrap-distance-left:9.00pt;mso-wrap-distance-top:0.00pt;mso-wrap-distance-right:9.00pt;mso-wrap-distance-bottom:0.00pt;" stroked="f" strokeweight="0.75pt">
                <v:path textboxrect="0,0,0,0"/>
                <w10:wrap type="square"/>
                <v:imagedata r:id="rId13" o:title=""/>
              </v:shape>
            </w:pict>
          </mc:Fallback>
        </mc:AlternateConten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ИНФОРМАЦИОННЫЙ ВЫПУСК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«Об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оказании услуг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</w:p>
    <w:p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 сфере государственного кадастрового учета, государственной регистрации прав и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  <w:r>
        <w:rPr>
          <w:rFonts w:ascii="Times New Roman" w:hAnsi="Times New Roman" w:cs="Times New Roman"/>
          <w:b/>
          <w:color w:val="000000"/>
          <w:sz w:val="28"/>
          <w:szCs w:val="28"/>
        </w:rPr>
      </w:r>
    </w:p>
    <w:p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предоставления сведений из ЕГРН</w:t>
      </w:r>
      <w:r>
        <w:rPr>
          <w:rFonts w:ascii="Times New Roman" w:hAnsi="Times New Roman" w:cs="Times New Roman"/>
          <w:b/>
          <w:sz w:val="28"/>
          <w:szCs w:val="28"/>
        </w:rPr>
        <w:t xml:space="preserve">»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ОТДЕЛ ПРАВОВОГО ОБЕСПЕЧЕНИЯ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УПРАВЛЕНИЯ РОСРЕЕСТРА ПО НОВОСИБИРСКОЙ ОБЛАСТИ</w:t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 w:clear="all"/>
      </w: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8"/>
        <w:contextualSpacing/>
        <w:jc w:val="both"/>
        <w:rPr>
          <w:rFonts w:ascii="Times New Roman" w:hAnsi="Times New Roman" w:eastAsia="Calibri" w:cs="Times New Roman"/>
          <w:b/>
          <w:bCs/>
          <w:color w:val="000000"/>
          <w14:ligatures w14:val="none"/>
        </w:rPr>
        <w:sectPr>
          <w:headerReference w:type="default" r:id="rId9"/>
          <w:headerReference w:type="first" r:id="rId10"/>
          <w:footerReference w:type="first" r:id="rId11"/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cols w:num="1" w:sep="0" w:space="708" w:equalWidth="1"/>
          <w:docGrid w:linePitch="360"/>
        </w:sectPr>
      </w:pPr>
      <w:r>
        <w:rPr>
          <w:rFonts w:ascii="Times New Roman" w:hAnsi="Times New Roman" w:eastAsia="Calibri" w:cs="Times New Roman"/>
          <w:b/>
          <w:bCs/>
          <w:color w:val="000000"/>
          <w:sz w:val="28"/>
          <w:szCs w:val="28"/>
          <w:highlight w:val="none"/>
          <w:shd w:val="clear" w:color="ffffff" w:themeColor="background1" w:fill="ffffff" w:themeFill="background1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  <w:r>
        <w:rPr>
          <w:rFonts w:ascii="Times New Roman" w:hAnsi="Times New Roman" w:eastAsia="Calibri" w:cs="Times New Roman"/>
          <w:b/>
          <w:bCs/>
          <w:color w:val="000000"/>
          <w14:ligatures w14:val="none"/>
        </w:rPr>
      </w:r>
    </w:p>
    <w:p>
      <w:pPr>
        <w:pStyle w:val="968"/>
        <w:ind w:firstLine="709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Новости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закон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одательства</w:t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jc w:val="both"/>
        <w:rPr>
          <w:b w:val="0"/>
          <w:bCs w:val="0"/>
          <w14:ligatures w14:val="none"/>
        </w:rPr>
      </w:pP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hd w:val="clear" w:color="ffffff" w:fill="ffffff"/>
        <w:spacing w:after="180"/>
        <w:ind w:left="0" w:right="0" w:firstLine="709"/>
        <w:contextualSpacing/>
        <w:rPr>
          <w:b w:val="0"/>
          <w:bCs w:val="0"/>
          <w14:ligatures w14:val="none"/>
        </w:rPr>
      </w:pPr>
      <w:r>
        <w:rPr>
          <w:b/>
          <w:bCs/>
          <w:highlight w:val="none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jc w:val="both"/>
        <w:rPr>
          <w:b/>
          <w:bCs/>
          <w14:ligatures w14:val="none"/>
        </w:rPr>
      </w:pPr>
      <w:r>
        <w:rPr>
          <w:b/>
          <w:bCs/>
        </w:rPr>
        <w:t xml:space="preserve">1. </w:t>
      </w:r>
      <w:r>
        <w:rPr>
          <w:b/>
          <w:bCs/>
        </w:rPr>
        <w:t xml:space="preserve">Приказ Росреестра от 23.10.2024 № П/0328/24 «О внесении изменений в приказы Федеральной службы государственной регистрации, кадастра и картографии от 4 августа 2021 г. № П/0337, от 14 декабря 2021 г. № П/0592 и от 15 марта 2022 г. № П/0082».</w:t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jc w:val="both"/>
        <w:rPr>
          <w:b w:val="0"/>
          <w:bCs w:val="0"/>
          <w14:ligatures w14:val="none"/>
        </w:rPr>
      </w:pPr>
      <w:r>
        <w:rPr>
          <w:b w:val="0"/>
          <w:bCs w:val="0"/>
        </w:rPr>
        <w:t xml:space="preserve">С 1 февраля вносятся изменения в отдельные акты Росреестра по вопросам указания местонахождения объектов недвижимости в карте-плане территории, межевом и техническом планах.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jc w:val="both"/>
        <w:rPr>
          <w:b w:val="0"/>
          <w:bCs w:val="0"/>
          <w14:ligatures w14:val="none"/>
        </w:rPr>
      </w:pPr>
      <w:r>
        <w:rPr>
          <w:b w:val="0"/>
          <w:bCs w:val="0"/>
        </w:rPr>
        <w:t xml:space="preserve">Уточняются формы карты-плана территории, межевого плана, технического плана в части указания в них: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ind w:left="0" w:right="0" w:firstLine="709"/>
        <w:jc w:val="both"/>
        <w:rPr>
          <w:b w:val="0"/>
          <w:bCs w:val="0"/>
          <w14:ligatures w14:val="none"/>
        </w:rPr>
      </w:pPr>
      <w:r>
        <w:rPr>
          <w:b w:val="0"/>
          <w:bCs w:val="0"/>
        </w:rPr>
        <w:t xml:space="preserve">сведений об адресе объекта недвижимости;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ind w:left="0" w:right="0" w:firstLine="709"/>
        <w:jc w:val="both"/>
        <w:rPr>
          <w:b w:val="0"/>
          <w:bCs w:val="0"/>
          <w14:ligatures w14:val="none"/>
        </w:rPr>
      </w:pPr>
      <w:r>
        <w:rPr>
          <w:b w:val="0"/>
          <w:bCs w:val="0"/>
        </w:rPr>
        <w:t xml:space="preserve">сведений об ином месте нахождения объекта недвижимости, не являющегося объектом адресации.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jc w:val="both"/>
        <w:rPr>
          <w:b w:val="0"/>
          <w:bCs w:val="0"/>
          <w14:ligatures w14:val="none"/>
        </w:rPr>
      </w:pPr>
      <w:r>
        <w:rPr>
          <w:b w:val="0"/>
          <w:bCs w:val="0"/>
        </w:rPr>
        <w:t xml:space="preserve">Одновременно внесены изменения в требования к подготовке карты-плана территории, межевого плана, технического плана.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jc w:val="both"/>
        <w:rPr>
          <w:b w:val="0"/>
          <w:bCs w:val="0"/>
          <w14:ligatures w14:val="none"/>
        </w:rPr>
      </w:pPr>
      <w:r>
        <w:rPr>
          <w:b w:val="0"/>
          <w:bCs w:val="0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hd w:val="clear" w:color="ffffff" w:fill="ffffff"/>
        <w:spacing w:after="180"/>
        <w:ind w:left="0" w:right="0" w:firstLine="0"/>
        <w:contextualSpacing/>
        <w:rPr>
          <w:b w:val="0"/>
          <w:bCs w:val="0"/>
          <w14:ligatures w14:val="none"/>
        </w:rPr>
      </w:pPr>
      <w:r>
        <w:rPr>
          <w:b w:val="0"/>
          <w:bCs w:val="0"/>
        </w:rPr>
        <w:tab/>
      </w:r>
      <w:r>
        <w:rPr>
          <w:b/>
          <w:bCs/>
        </w:rPr>
        <w:t xml:space="preserve">2</w:t>
      </w:r>
      <w:r>
        <w:rPr>
          <w:b/>
          <w:bCs/>
        </w:rPr>
        <w:t xml:space="preserve">. </w:t>
      </w:r>
      <w:r>
        <w:rPr>
          <w:b/>
          <w:bCs/>
        </w:rPr>
      </w:r>
      <w:hyperlink r:id="rId14" w:tooltip="https://www.consultant.ru/document/cons_doc_LAW_523792/" w:history="1">
        <w:r>
          <w:rPr>
            <w:b/>
            <w:bCs/>
          </w:rPr>
          <w:t xml:space="preserve">Постановление Правительства РФ от 30.12.2025 № 2211 «О внесении изменения в постановление Правительства Российской Федерации от 24 февраля 2009 г. № 160».</w:t>
        </w:r>
      </w:hyperlink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hd w:val="clear" w:color="ffffff" w:fill="ffffff"/>
        <w:spacing w:after="180"/>
        <w:ind w:left="0" w:right="0" w:firstLine="709"/>
        <w:contextualSpacing/>
        <w:rPr>
          <w:b w:val="0"/>
          <w:bCs w:val="0"/>
          <w14:ligatures w14:val="none"/>
        </w:rPr>
      </w:pPr>
      <w:r>
        <w:rPr>
          <w:b w:val="0"/>
          <w:bCs w:val="0"/>
        </w:rPr>
      </w:r>
      <w:r>
        <w:rPr>
          <w:b w:val="0"/>
          <w:bCs w:val="0"/>
        </w:rPr>
        <w:t xml:space="preserve">До 1 марта 2031 года продлен срок действия Правил установления охранных зон объектов электросетевого хозяйства и особых условий использования земельных участков, расположенных в границах таких зон</w:t>
      </w:r>
      <w:r>
        <w:rPr>
          <w:b w:val="0"/>
          <w:bCs w:val="0"/>
        </w:rPr>
        <w:t xml:space="preserve">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hd w:val="clear" w:color="ffffff" w:fill="ffffff"/>
        <w:spacing w:after="180"/>
        <w:ind w:left="0" w:right="0" w:firstLine="709"/>
        <w:contextualSpacing/>
        <w:rPr>
          <w:b w:val="0"/>
          <w:bCs w:val="0"/>
          <w14:ligatures w14:val="none"/>
        </w:rPr>
      </w:pPr>
      <w:r>
        <w:rPr>
          <w:b w:val="0"/>
          <w:bCs w:val="0"/>
        </w:rPr>
        <w:t xml:space="preserve">На</w:t>
      </w:r>
      <w:r>
        <w:rPr>
          <w:b w:val="0"/>
          <w:bCs w:val="0"/>
        </w:rPr>
        <w:t xml:space="preserve">стоящее постановление вступило в силу с 31 декабря 2025 года.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hd w:val="clear" w:color="ffffff" w:fill="ffffff"/>
        <w:spacing w:after="180"/>
        <w:ind w:left="0" w:right="0" w:firstLine="709"/>
        <w:contextualSpacing/>
        <w:rPr>
          <w:b w:val="0"/>
          <w:bCs w:val="0"/>
          <w14:ligatures w14:val="none"/>
        </w:rPr>
      </w:pPr>
      <w:r>
        <w:rPr>
          <w:b w:val="0"/>
          <w:bCs w:val="0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hd w:val="clear" w:color="ffffff" w:fill="ffffff"/>
        <w:spacing w:after="180"/>
        <w:ind w:left="0" w:right="0" w:firstLine="709"/>
        <w:contextualSpacing/>
        <w:rPr>
          <w:b w:val="0"/>
          <w:bCs w:val="0"/>
          <w14:ligatures w14:val="none"/>
        </w:rPr>
      </w:pPr>
      <w:r>
        <w:rPr>
          <w:b/>
          <w:bCs/>
        </w:rPr>
        <w:t xml:space="preserve">3. </w:t>
      </w:r>
      <w:hyperlink r:id="rId15" w:tooltip="https://www.consultant.ru/document/cons_doc_LAW_523655/" w:history="1">
        <w:r>
          <w:rPr>
            <w:b/>
            <w:bCs/>
          </w:rPr>
          <w:t xml:space="preserve">Постановление Правительства РФ от 30.12.2025 № 2209 «О внесении изменений в постановление Правительства Российской Федерации от 15 февраля 2023 г. № 223»</w:t>
        </w:r>
      </w:hyperlink>
      <w:r>
        <w:rPr>
          <w:b/>
          <w:bCs/>
          <w14:ligatures w14:val="none"/>
        </w:rPr>
        <w:t xml:space="preserve">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hd w:val="clear" w:color="ffffff" w:fill="ffffff"/>
        <w:spacing w:after="180"/>
        <w:ind w:left="0" w:right="0" w:firstLine="709"/>
        <w:contextualSpacing/>
        <w:rPr>
          <w:b w:val="0"/>
          <w:bCs w:val="0"/>
          <w14:ligatures w14:val="none"/>
        </w:rPr>
      </w:pPr>
      <w:r>
        <w:rPr>
          <w:b w:val="0"/>
          <w:bCs w:val="0"/>
        </w:rPr>
        <w:t xml:space="preserve">До 31 декабря 2026 г. продлеваются особенности проведения государственной экспертизы проектной документации отдельных объектов капитального строительства, выдачи разрешений на строительство и на ввод в эксплуатацию.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hd w:val="clear" w:color="ffffff" w:fill="ffffff"/>
        <w:spacing w:after="180"/>
        <w:ind w:left="0" w:right="0" w:firstLine="709"/>
        <w:contextualSpacing/>
        <w:rPr>
          <w:b w:val="0"/>
          <w:bCs w:val="0"/>
          <w14:ligatures w14:val="none"/>
        </w:rPr>
      </w:pPr>
      <w:r>
        <w:rPr>
          <w:b w:val="0"/>
          <w:bCs w:val="0"/>
        </w:rPr>
        <w:t xml:space="preserve">Речь идет об объектах капитального строительства, строительство, реконструкция которых осуществляются в рамках реализации проектов с особым статусом, необходимых для обеспечения обороноспособности и безопасности государства.</w:t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 w:val="0"/>
          <w:bCs w:val="0"/>
          <w14:ligatures w14:val="none"/>
        </w:rPr>
      </w:pP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jc w:val="both"/>
        <w:rPr>
          <w:b w:val="0"/>
          <w:bCs w:val="0"/>
          <w14:ligatures w14:val="none"/>
        </w:rPr>
        <w:sectPr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cols w:num="1" w:sep="0" w:space="708" w:equalWidth="1"/>
          <w:docGrid w:linePitch="360"/>
        </w:sectPr>
      </w:pPr>
      <w:r>
        <w:rPr>
          <w:b w:val="0"/>
          <w:bCs w:val="0"/>
        </w:rPr>
      </w:r>
      <w:r>
        <w:rPr>
          <w:b w:val="0"/>
          <w:bCs w:val="0"/>
          <w14:ligatures w14:val="none"/>
        </w:rPr>
      </w:r>
      <w:r>
        <w:rPr>
          <w:b w:val="0"/>
          <w:bCs w:val="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/>
          <w:lang w:eastAsia="ru-RU"/>
          <w14:ligatures w14:val="none"/>
        </w:rPr>
      </w:pPr>
      <w:r>
        <w:rPr>
          <w:b/>
          <w:bCs/>
          <w:color w:val="292c2f"/>
          <w:highlight w:val="none"/>
          <w14:ligatures w14:val="none"/>
        </w:rPr>
      </w:r>
      <w:r>
        <w:rPr>
          <w:b w:val="0"/>
          <w:bCs w:val="0"/>
          <w:color w:val="000000"/>
          <w:lang w:eastAsia="ru-RU"/>
          <w14:ligatures w14:val="none"/>
        </w:rPr>
      </w:r>
      <w:r>
        <w:rPr>
          <w:b w:val="0"/>
          <w:bCs w:val="0"/>
          <w:color w:val="000000"/>
          <w:lang w:eastAsia="ru-RU"/>
          <w14:ligatures w14:val="none"/>
        </w:rPr>
      </w:r>
    </w:p>
    <w:p>
      <w:pPr>
        <w:pStyle w:val="968"/>
        <w:ind w:left="1069" w:firstLine="0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нформационные письма и разъяснения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 сфере государственного кадастрового учета и (или) государственной регистрации пр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ав, материалы судебной практики</w:t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pStyle w:val="968"/>
        <w:ind w:left="1069" w:firstLine="0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jc w:val="both"/>
        <w:rPr>
          <w:rFonts w:eastAsia="Times New Roman"/>
          <w:b/>
          <w:bCs/>
          <w:highlight w:val="none"/>
          <w:shd w:val="clear" w:color="auto" w:fill="ffffff"/>
          <w14:ligatures w14:val="none"/>
        </w:rPr>
      </w:pPr>
      <w:r>
        <w:rPr>
          <w:rFonts w:eastAsia="Times New Roman"/>
          <w:b/>
          <w:bCs/>
          <w:shd w:val="clear" w:color="auto" w:fill="ffffff"/>
          <w:lang w:eastAsia="ru-RU"/>
        </w:rPr>
        <w:t xml:space="preserve">1.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</w:t>
      </w:r>
      <w:r>
        <w:rPr>
          <w:b/>
          <w:bCs/>
        </w:rPr>
        <w:t xml:space="preserve">Дайджест законодательных изменений в сфере земли и недвижимости</w:t>
      </w:r>
      <w:r>
        <w:rPr>
          <w:b/>
          <w:bCs/>
        </w:rPr>
        <w:t xml:space="preserve"> за 4 квартал 2025.</w:t>
      </w:r>
      <w:r>
        <w:rPr>
          <w:rFonts w:eastAsia="Times New Roman"/>
          <w:b/>
          <w:bCs/>
          <w:highlight w:val="none"/>
          <w:shd w:val="clear" w:color="auto" w:fill="ffffff"/>
          <w14:ligatures w14:val="none"/>
        </w:rPr>
      </w:r>
      <w:r>
        <w:rPr>
          <w:rFonts w:eastAsia="Times New Roman"/>
          <w:b/>
          <w:bCs/>
          <w:highlight w:val="none"/>
          <w:shd w:val="clear" w:color="auto" w:fill="ffffff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265893" cy="4649565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0527267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 flipH="0" flipV="0">
                          <a:off x="0" y="0"/>
                          <a:ext cx="8265893" cy="464956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650.86pt;height:366.11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527755" cy="5366385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227059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 flipH="0" flipV="0">
                          <a:off x="0" y="0"/>
                          <a:ext cx="8527754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671.48pt;height:422.55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365830" cy="5366385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6316149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 flipH="0" flipV="0">
                          <a:off x="0" y="0"/>
                          <a:ext cx="8365829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658.73pt;height:422.55pt;mso-wrap-distance-left:0.00pt;mso-wrap-distance-top:0.00pt;mso-wrap-distance-right:0.00pt;mso-wrap-distance-bottom:0.00pt;" stroked="false">
                <v:path textboxrect="0,0,0,0"/>
                <v:imagedata r:id="rId18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451555" cy="5366385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1334492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 flipH="0" flipV="0">
                          <a:off x="0" y="0"/>
                          <a:ext cx="8451554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665.48pt;height:422.55pt;mso-wrap-distance-left:0.00pt;mso-wrap-distance-top:0.00pt;mso-wrap-distance-right:0.00pt;mso-wrap-distance-bottom:0.00pt;" stroked="false">
                <v:path textboxrect="0,0,0,0"/>
                <v:imagedata r:id="rId19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556330" cy="5366385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36162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 flipH="0" flipV="0">
                          <a:off x="0" y="0"/>
                          <a:ext cx="8556329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673.73pt;height:422.55pt;mso-wrap-distance-left:0.00pt;mso-wrap-distance-top:0.00pt;mso-wrap-distance-right:0.00pt;mso-wrap-distance-bottom:0.00pt;" stroked="false">
                <v:path textboxrect="0,0,0,0"/>
                <v:imagedata r:id="rId20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565855" cy="5366385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4305134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 flipH="0" flipV="0">
                          <a:off x="0" y="0"/>
                          <a:ext cx="8565854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674.48pt;height:422.55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461080" cy="5366385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5782131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 flipH="0" flipV="0">
                          <a:off x="0" y="0"/>
                          <a:ext cx="8461079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666.23pt;height:422.55pt;mso-wrap-distance-left:0.00pt;mso-wrap-distance-top:0.00pt;mso-wrap-distance-right:0.00pt;mso-wrap-distance-bottom:0.00pt;" stroked="false">
                <v:path textboxrect="0,0,0,0"/>
                <v:imagedata r:id="rId22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556330" cy="5366385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917391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 flipH="0" flipV="0">
                          <a:off x="0" y="0"/>
                          <a:ext cx="8556329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673.73pt;height:422.55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603955" cy="5366385"/>
                <wp:effectExtent l="0" t="0" r="0" b="0"/>
                <wp:docPr id="1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1564304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 flipH="0" flipV="0">
                          <a:off x="0" y="0"/>
                          <a:ext cx="8603954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677.48pt;height:422.55pt;mso-wrap-distance-left:0.00pt;mso-wrap-distance-top:0.00pt;mso-wrap-distance-right:0.00pt;mso-wrap-distance-bottom:0.00pt;" stroked="false">
                <v:path textboxrect="0,0,0,0"/>
                <v:imagedata r:id="rId24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746830" cy="5366385"/>
                <wp:effectExtent l="0" t="0" r="0" b="0"/>
                <wp:docPr id="1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663123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 flipH="0" flipV="0">
                          <a:off x="0" y="0"/>
                          <a:ext cx="8746829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688.73pt;height:422.55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708730" cy="5366385"/>
                <wp:effectExtent l="0" t="0" r="0" b="0"/>
                <wp:docPr id="1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6199904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 flipH="0" flipV="0">
                          <a:off x="0" y="0"/>
                          <a:ext cx="8708729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685.73pt;height:422.55pt;mso-wrap-distance-left:0.00pt;mso-wrap-distance-top:0.00pt;mso-wrap-distance-right:0.00pt;mso-wrap-distance-bottom:0.00pt;" stroked="false">
                <v:path textboxrect="0,0,0,0"/>
                <v:imagedata r:id="rId26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708730" cy="5366385"/>
                <wp:effectExtent l="0" t="0" r="0" b="0"/>
                <wp:docPr id="1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1734257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 flipH="0" flipV="0">
                          <a:off x="0" y="0"/>
                          <a:ext cx="8708729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685.73pt;height:422.55pt;mso-wrap-distance-left:0.00pt;mso-wrap-distance-top:0.00pt;mso-wrap-distance-right:0.00pt;mso-wrap-distance-bottom:0.00pt;" stroked="false">
                <v:path textboxrect="0,0,0,0"/>
                <v:imagedata r:id="rId27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851605" cy="5366385"/>
                <wp:effectExtent l="0" t="0" r="0" b="0"/>
                <wp:docPr id="1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4315755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 flipH="0" flipV="0">
                          <a:off x="0" y="0"/>
                          <a:ext cx="8851604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696.98pt;height:422.55pt;mso-wrap-distance-left:0.00pt;mso-wrap-distance-top:0.00pt;mso-wrap-distance-right:0.00pt;mso-wrap-distance-bottom:0.00pt;" stroked="false">
                <v:path textboxrect="0,0,0,0"/>
                <v:imagedata r:id="rId28" o:title=""/>
              </v:shape>
            </w:pict>
          </mc:Fallback>
        </mc:AlternateContent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highlight w:val="none"/>
          <w:lang w:eastAsia="ru-RU"/>
          <w14:ligatures w14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w:rPr>
          <w:rFonts w:eastAsia="Times New Roman"/>
          <w:b/>
          <w:bCs/>
          <w:highlight w:val="none"/>
          <w:lang w:eastAsia="ru-RU"/>
          <w14:ligatures w14:val="none"/>
        </w:rPr>
      </w:r>
    </w:p>
    <w:p>
      <w:pPr>
        <w:pStyle w:val="968"/>
        <w:ind w:left="1069" w:firstLine="0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eastAsia="Times New Roman"/>
          <w:b/>
          <w:bCs/>
          <w:highlight w:val="none"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8603320" cy="5366385"/>
                <wp:effectExtent l="0" t="0" r="0" b="0"/>
                <wp:docPr id="1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8947577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 flipH="0" flipV="0">
                          <a:off x="0" y="0"/>
                          <a:ext cx="8603319" cy="53663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677.43pt;height:422.55pt;mso-wrap-distance-left:0.00pt;mso-wrap-distance-top:0.00pt;mso-wrap-distance-right:0.00pt;mso-wrap-distance-bottom:0.00pt;" stroked="false">
                <v:path textboxrect="0,0,0,0"/>
                <v:imagedata r:id="rId29" o:title=""/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pStyle w:val="968"/>
        <w:ind w:left="1069" w:firstLine="0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pStyle w:val="968"/>
        <w:ind w:left="1069" w:firstLine="0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pStyle w:val="968"/>
        <w:ind w:left="0" w:firstLine="0"/>
        <w:jc w:val="left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pStyle w:val="968"/>
        <w:ind w:left="1069" w:firstLine="0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  <w:sectPr>
          <w:footnotePr/>
          <w:endnotePr/>
          <w:type w:val="nextPage"/>
          <w:pgSz w:w="16838" w:h="11906" w:orient="landscape"/>
          <w:pgMar w:top="1701" w:right="1134" w:bottom="850" w:left="1134" w:header="709" w:footer="709" w:gutter="0"/>
          <w:cols w:num="1" w:sep="0" w:space="708" w:equalWidth="1"/>
          <w:docGrid w:linePitch="360"/>
        </w:sectPr>
      </w:pP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pStyle w:val="968"/>
        <w:ind w:left="1069" w:firstLine="0"/>
        <w:jc w:val="center"/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</w:rPr>
      </w:r>
    </w:p>
    <w:p>
      <w:pPr>
        <w:jc w:val="both"/>
        <w:rPr>
          <w:b/>
          <w:bCs/>
          <w:color w:val="000000"/>
          <w:highlight w:val="none"/>
          <w:shd w:val="clear" w:color="auto" w:fill="ffffff"/>
          <w14:ligatures w14:val="none"/>
        </w:rPr>
      </w:pPr>
      <w:r>
        <w:rPr>
          <w:b/>
          <w:highlight w:val="none"/>
        </w:rPr>
        <w:t xml:space="preserve">2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.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П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ис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ьмо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Р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осреестра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от 26.12.2025 №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13-13730-АБ/25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 о 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направлении информации для сведения о государственной регистрации приказа Федеральной службы государственной регистрации, кадастра и картографии от 26.09.2025 № П/0346/25</w:t>
      </w:r>
      <w:r>
        <w:rPr>
          <w:rFonts w:eastAsia="Times New Roman"/>
          <w:b/>
          <w:bCs/>
          <w:shd w:val="clear" w:color="auto" w:fill="ffffff"/>
          <w:lang w:eastAsia="ru-RU"/>
        </w:rPr>
        <w:t xml:space="preserve">.</w:t>
      </w:r>
      <w:r>
        <w:rPr>
          <w:b/>
          <w:bCs/>
          <w:color w:val="000000"/>
          <w:highlight w:val="none"/>
          <w:shd w:val="clear" w:color="auto" w:fill="ffffff"/>
          <w14:ligatures w14:val="none"/>
        </w:rPr>
      </w:r>
      <w:r>
        <w:rPr>
          <w:b/>
          <w:bCs/>
          <w:color w:val="000000"/>
          <w:highlight w:val="none"/>
          <w:shd w:val="clear" w:color="auto" w:fill="ffffff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943520" cy="6992689"/>
                <wp:effectExtent l="0" t="0" r="0" b="0"/>
                <wp:docPr id="1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6918603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 flipH="0" flipV="0">
                          <a:off x="0" y="0"/>
                          <a:ext cx="4943520" cy="69926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389.25pt;height:550.61pt;mso-wrap-distance-left:0.00pt;mso-wrap-distance-top:0.00pt;mso-wrap-distance-right:0.00pt;mso-wrap-distance-bottom:0.00pt;" stroked="false">
                <v:path textboxrect="0,0,0,0"/>
                <v:imagedata r:id="rId30" o:title=""/>
              </v:shape>
            </w:pict>
          </mc:Fallback>
        </mc:AlternateContent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397046"/>
                <wp:effectExtent l="0" t="0" r="0" b="0"/>
                <wp:docPr id="1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2084941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5940423" cy="83970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467.75pt;height:661.18pt;mso-wrap-distance-left:0.00pt;mso-wrap-distance-top:0.00pt;mso-wrap-distance-right:0.00pt;mso-wrap-distance-bottom:0.00pt;" stroked="false">
                <v:path textboxrect="0,0,0,0"/>
                <v:imagedata r:id="rId31" o:title=""/>
              </v:shape>
            </w:pict>
          </mc:Fallback>
        </mc:AlternateContent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379730"/>
                <wp:effectExtent l="0" t="0" r="0" b="0"/>
                <wp:docPr id="1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28494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5940423" cy="837972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67.75pt;height:659.82pt;mso-wrap-distance-left:0.00pt;mso-wrap-distance-top:0.00pt;mso-wrap-distance-right:0.00pt;mso-wrap-distance-bottom:0.00pt;" stroked="false">
                <v:path textboxrect="0,0,0,0"/>
                <v:imagedata r:id="rId32" o:title=""/>
              </v:shape>
            </w:pict>
          </mc:Fallback>
        </mc:AlternateContent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386904"/>
                <wp:effectExtent l="0" t="0" r="0" b="0"/>
                <wp:docPr id="1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8854492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5940423" cy="838690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67.75pt;height:660.39pt;mso-wrap-distance-left:0.00pt;mso-wrap-distance-top:0.00pt;mso-wrap-distance-right:0.00pt;mso-wrap-distance-bottom:0.00pt;" stroked="false">
                <v:path textboxrect="0,0,0,0"/>
                <v:imagedata r:id="rId33" o:title=""/>
              </v:shape>
            </w:pict>
          </mc:Fallback>
        </mc:AlternateContent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382679"/>
                <wp:effectExtent l="0" t="0" r="0" b="0"/>
                <wp:docPr id="2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626626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>
                          <a:off x="0" y="0"/>
                          <a:ext cx="5940423" cy="838267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67.75pt;height:660.05pt;mso-wrap-distance-left:0.00pt;mso-wrap-distance-top:0.00pt;mso-wrap-distance-right:0.00pt;mso-wrap-distance-bottom:0.00pt;" stroked="false">
                <v:path textboxrect="0,0,0,0"/>
                <v:imagedata r:id="rId34" o:title=""/>
              </v:shape>
            </w:pict>
          </mc:Fallback>
        </mc:AlternateContent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b/>
          <w:bCs/>
          <w:color w:val="000000"/>
          <w:highlight w:val="none"/>
          <w14:ligatures w14:val="none"/>
        </w:rPr>
      </w:pP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  <w:r>
        <w:rPr>
          <w:b/>
          <w:bCs/>
          <w:color w:val="000000"/>
          <w:highlight w:val="none"/>
          <w14:ligatures w14:val="none"/>
        </w:rPr>
      </w:r>
    </w:p>
    <w:p>
      <w:pPr>
        <w:jc w:val="both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8369622"/>
                <wp:effectExtent l="0" t="0" r="0" b="0"/>
                <wp:docPr id="2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4495419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5940423" cy="83696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467.75pt;height:659.03pt;mso-wrap-distance-left:0.00pt;mso-wrap-distance-top:0.00pt;mso-wrap-distance-right:0.00pt;mso-wrap-distance-bottom:0.00pt;" stroked="false">
                <v:path textboxrect="0,0,0,0"/>
                <v:imagedata r:id="rId35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jc w:val="both"/>
        <w:rPr>
          <w:rFonts w:eastAsia="Times New Roman"/>
          <w:b/>
          <w:bCs/>
          <w:lang w:eastAsia="ru-RU"/>
          <w14:ligatures w14:val="none"/>
        </w:rPr>
      </w:pPr>
      <w:r>
        <w:rPr>
          <w:rFonts w:eastAsia="Times New Roman"/>
          <w:b/>
          <w:bCs/>
          <w:lang w:eastAsia="ru-RU"/>
          <w14:ligatures w14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776300" cy="8135536"/>
                <wp:effectExtent l="0" t="0" r="0" b="0"/>
                <wp:docPr id="2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3003730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6"/>
                        <a:stretch/>
                      </pic:blipFill>
                      <pic:spPr bwMode="auto">
                        <a:xfrm flipH="0" flipV="0">
                          <a:off x="0" y="0"/>
                          <a:ext cx="5776299" cy="813553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454.83pt;height:640.59pt;mso-wrap-distance-left:0.00pt;mso-wrap-distance-top:0.00pt;mso-wrap-distance-right:0.00pt;mso-wrap-distance-bottom:0.00pt;" stroked="false">
                <v:path textboxrect="0,0,0,0"/>
                <v:imagedata r:id="rId36" o:title=""/>
              </v:shape>
            </w:pict>
          </mc:Fallback>
        </mc:AlternateContent>
      </w:r>
      <w:r>
        <w:rPr>
          <w:rFonts w:eastAsia="Times New Roman"/>
          <w:b/>
          <w:bCs/>
          <w:lang w:eastAsia="ru-RU"/>
          <w14:ligatures w14:val="none"/>
        </w:rPr>
      </w:r>
      <w:r>
        <w:rPr>
          <w:rFonts w:eastAsia="Times New Roman"/>
          <w:b/>
          <w:bCs/>
          <w:lang w:eastAsia="ru-RU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firstLine="0"/>
        <w:rPr>
          <w:b/>
          <w:bCs/>
          <w:color w:val="000000"/>
          <w14:ligatures w14:val="none"/>
        </w:rPr>
      </w:pPr>
      <w:r>
        <w:rPr>
          <w:b/>
          <w:bCs/>
          <w:color w:val="000000"/>
          <w14:ligatures w14:val="none"/>
        </w:rPr>
      </w:r>
      <w:r>
        <w:rPr>
          <w:b/>
          <w:bCs/>
          <w:color w:val="000000"/>
          <w14:ligatures w14:val="none"/>
        </w:rPr>
      </w:r>
      <w:r>
        <w:rPr>
          <w:b/>
          <w:bCs/>
          <w:color w:val="00000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/>
          <w14:ligatures w14:val="none"/>
        </w:rPr>
      </w:pPr>
      <w:r>
        <w:rPr>
          <w:b/>
          <w:bCs/>
          <w:color w:val="000000"/>
          <w14:ligatures w14:val="none"/>
        </w:rPr>
      </w:r>
      <w:r>
        <w:rPr>
          <w:b/>
          <w:bCs/>
          <w:color w:val="000000"/>
          <w14:ligatures w14:val="none"/>
        </w:rPr>
      </w:r>
      <w:r>
        <w:rPr>
          <w:b/>
          <w:bCs/>
          <w:color w:val="000000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/>
          <w14:ligatures w14:val="none"/>
        </w:rPr>
        <w:sectPr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cols w:num="1" w:sep="0" w:space="708" w:equalWidth="1"/>
          <w:docGrid w:linePitch="360"/>
        </w:sectPr>
      </w:pPr>
      <w:r>
        <w:rPr>
          <w:b/>
          <w:bCs/>
          <w:color w:val="000000"/>
          <w14:ligatures w14:val="none"/>
        </w:rPr>
      </w:r>
      <w:r>
        <w:rPr>
          <w:b/>
          <w:bCs/>
          <w:color w:val="000000"/>
          <w14:ligatures w14:val="none"/>
        </w:rPr>
      </w:r>
      <w:r>
        <w:rPr>
          <w:b/>
          <w:bCs/>
          <w:color w:val="000000"/>
          <w14:ligatures w14:val="none"/>
        </w:rPr>
      </w:r>
    </w:p>
    <w:p>
      <w:pPr>
        <w:ind w:firstLine="708"/>
        <w:jc w:val="both"/>
        <w:rPr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pPr>
      <w:r>
        <w:rPr>
          <w:rStyle w:val="973"/>
          <w:rFonts w:ascii="Times New Roman" w:hAnsi="Times New Roman" w:cs="Times New Roman"/>
          <w:b/>
          <w:i/>
          <w:sz w:val="28"/>
          <w:szCs w:val="28"/>
        </w:rPr>
        <w:t xml:space="preserve">Новости информационных сайтов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Минэкономразвития России</w:t>
      </w:r>
      <w:r>
        <w:rPr>
          <w:rStyle w:val="973"/>
          <w:rFonts w:ascii="Times New Roman" w:hAnsi="Times New Roman" w:cs="Times New Roman"/>
          <w:b/>
          <w:i/>
          <w:sz w:val="28"/>
          <w:szCs w:val="28"/>
        </w:rPr>
        <w:t xml:space="preserve">, Росреестра и Управления Росреестра по Новосибирской области</w:t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r>
      <w:r>
        <w:rPr>
          <w:rFonts w:ascii="Times New Roman" w:hAnsi="Times New Roman" w:cs="Times New Roman"/>
          <w:b/>
          <w:bCs/>
          <w:i/>
          <w:sz w:val="28"/>
          <w:szCs w:val="28"/>
          <w:highlight w:val="none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jc w:val="both"/>
        <w:rPr>
          <w:b/>
          <w:bCs/>
          <w14:ligatures w14:val="none"/>
        </w:rPr>
      </w:pPr>
      <w:r>
        <w:rPr>
          <w:b/>
          <w:bCs/>
          <w14:ligatures w14:val="none"/>
        </w:rPr>
      </w:r>
      <w:r>
        <w:rPr>
          <w:b/>
          <w:bCs/>
          <w14:ligatures w14:val="none"/>
        </w:rPr>
      </w:r>
      <w:r>
        <w:rPr>
          <w:b/>
          <w:bCs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/>
          <w:bCs/>
          <w:color w:val="000000" w:themeColor="text1"/>
          <w14:ligatures w14:val="none"/>
        </w:rPr>
        <w:t xml:space="preserve">1.</w:t>
      </w:r>
      <w:r>
        <w:rPr>
          <w:b/>
          <w:bCs/>
          <w:color w:val="000000" w:themeColor="text1"/>
          <w14:ligatures w14:val="none"/>
        </w:rPr>
        <w:t xml:space="preserve"> </w:t>
      </w:r>
      <w:r>
        <w:rPr>
          <w:b/>
          <w:bCs/>
          <w:color w:val="000000" w:themeColor="text1"/>
          <w14:ligatures w14:val="none"/>
        </w:rPr>
        <w:t xml:space="preserve">Росреестр в рамках госпрограммы «НСПД» исправил бесплатно для людей более 2,7 млн реестровых ошибок.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Росреестр с начала реализации в 2022 году госпрограммы «Национальная система пространственных данных» по 29 декабря 2025 года исправил бесплатно для людей более 2,7 млн реестровых ошибок в границах земельных участков, зон или территорий.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«Исправляя реестровые ошибки, мы повышаем полноту и достоверность сведений ЕГРН. Это одно из приоритетных направлений нашей работы, поскольку только на полных и точных данных можно управлять развитием территорий. С 2022 года исправлено более 2,7 млн истори</w:t>
      </w:r>
      <w:r>
        <w:rPr>
          <w:b w:val="0"/>
          <w:bCs w:val="0"/>
          <w:color w:val="000000" w:themeColor="text1"/>
          <w14:ligatures w14:val="none"/>
        </w:rPr>
        <w:t xml:space="preserve">чески накопленных реестровых ошибок, в том числе 1,2 млн за счет проведения комплексных кадастровых работ. Устранение реестровых ошибок позволяет дать гражданам точную информацию, где находятся их земельные участки. Это обеспечивает дополнительную защиту п</w:t>
      </w:r>
      <w:r>
        <w:rPr>
          <w:b w:val="0"/>
          <w:bCs w:val="0"/>
          <w:color w:val="000000" w:themeColor="text1"/>
          <w14:ligatures w14:val="none"/>
        </w:rPr>
        <w:t xml:space="preserve">рав собственности и помогает избежать земельных споров. Кроме того, чтобы исправить реестровую ошибку, людям больше не нужно заказывать работы у кадастрового инженера. Орган регистрации прав проводит эту работу самостоятельно, не взимая плату», - </w:t>
      </w:r>
      <w:r>
        <w:rPr>
          <w:b w:val="0"/>
          <w:bCs w:val="0"/>
          <w:color w:val="000000" w:themeColor="text1"/>
          <w14:ligatures w14:val="none"/>
        </w:rPr>
        <w:t xml:space="preserve">сказал руководитель Росреестра</w:t>
      </w:r>
      <w:r>
        <w:rPr>
          <w:b w:val="0"/>
          <w:bCs w:val="0"/>
          <w:color w:val="000000" w:themeColor="text1"/>
          <w14:ligatures w14:val="none"/>
        </w:rPr>
        <w:t xml:space="preserve"> Олег Скуфинский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Он отметил, что ведомство инициировало комплекс мер, чтобы повысить эффективность механизма исправления реестровых ошибок. По инициативе Росреестра в феврале 2024 года был принят Федеральный закон № 438-ФЗ. Срок исправления реестровой ошибки сократился </w:t>
      </w:r>
      <w:r>
        <w:rPr>
          <w:b w:val="0"/>
          <w:bCs w:val="0"/>
          <w:color w:val="000000" w:themeColor="text1"/>
          <w14:ligatures w14:val="none"/>
        </w:rPr>
        <w:t xml:space="preserve">в 3 раза и составил один месяц вместо трёх с момента направления правообладателю, уполномоченному органу власти или муниципалитету решения об исправлении такой ошибки. Это существенно ускорило процедуру.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Одним из основных инструментов для массового устран</w:t>
      </w:r>
      <w:r>
        <w:rPr>
          <w:b w:val="0"/>
          <w:bCs w:val="0"/>
          <w:color w:val="000000" w:themeColor="text1"/>
          <w14:ligatures w14:val="none"/>
        </w:rPr>
        <w:t xml:space="preserve">ения реестровых ошибок стали комплексные кадастровые работы. В 2025 году они выполнены в отношении </w:t>
      </w:r>
      <w:r>
        <w:rPr>
          <w:b w:val="0"/>
          <w:bCs w:val="0"/>
          <w:color w:val="000000" w:themeColor="text1"/>
          <w14:ligatures w14:val="none"/>
        </w:rPr>
        <w:t xml:space="preserve">4 млн</w:t>
      </w:r>
      <w:r>
        <w:rPr>
          <w:b w:val="0"/>
          <w:bCs w:val="0"/>
          <w:color w:val="000000" w:themeColor="text1"/>
          <w14:ligatures w14:val="none"/>
        </w:rPr>
        <w:t xml:space="preserve"> объектов во всех 89 субъектах Российской Федерации. Их проводит ППК «Роскадастр». В 2022 - 2024 годах для повышения точности измерений филиалам компании было передано современное оборудование: высокоточные геодезические приборы, беспилотные летательные ап</w:t>
      </w:r>
      <w:r>
        <w:rPr>
          <w:b w:val="0"/>
          <w:bCs w:val="0"/>
          <w:color w:val="000000" w:themeColor="text1"/>
          <w14:ligatures w14:val="none"/>
        </w:rPr>
        <w:t xml:space="preserve">параты и фотограмметрические комплексы.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Кроме того, инициировать исправление ошибки может любой собственник – для этого достаточно подать заявление в территориальный орган ведомства с указанием кадастрового номера объекта недвижимости.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Напомним, что реес</w:t>
      </w:r>
      <w:r>
        <w:rPr>
          <w:b w:val="0"/>
          <w:bCs w:val="0"/>
          <w:color w:val="000000" w:themeColor="text1"/>
          <w14:ligatures w14:val="none"/>
        </w:rPr>
        <w:t xml:space="preserve">тровой признается ошибка, которая была перенесена в ЕГРН из документов, представленных в орган регистрации прав. Это может быть межевой или технический план, карта-план территории, акт обследования, а также документы, содержащие сведения о границах различн</w:t>
      </w:r>
      <w:r>
        <w:rPr>
          <w:b w:val="0"/>
          <w:bCs w:val="0"/>
          <w:color w:val="000000" w:themeColor="text1"/>
          <w14:ligatures w14:val="none"/>
        </w:rPr>
        <w:t xml:space="preserve">ых зон и территорий.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Такие ошиб</w:t>
      </w:r>
      <w:r>
        <w:rPr>
          <w:b w:val="0"/>
          <w:bCs w:val="0"/>
          <w:color w:val="000000" w:themeColor="text1"/>
          <w14:ligatures w14:val="none"/>
        </w:rPr>
        <w:t xml:space="preserve">ки возникают из-за неточностей, допущенных кадастровым инженером, или из-за наличия ошибок в документах, направленных</w:t>
        <w:br/>
        <w:t xml:space="preserve">в Ро</w:t>
      </w:r>
      <w:r>
        <w:rPr>
          <w:b w:val="0"/>
          <w:bCs w:val="0"/>
          <w:color w:val="000000" w:themeColor="text1"/>
          <w14:ligatures w14:val="none"/>
        </w:rPr>
        <w:t xml:space="preserve">среестр в порядке информационного взаимодействия.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14:ligatures w14:val="none"/>
        </w:rPr>
        <w:t xml:space="preserve">2.</w:t>
      </w:r>
      <w:r>
        <w:rPr>
          <w:b/>
          <w:bCs/>
          <w:color w:val="000000" w:themeColor="text1"/>
          <w14:ligatures w14:val="none"/>
        </w:rPr>
        <w:t xml:space="preserve"> </w:t>
      </w:r>
      <w:r>
        <w:rPr>
          <w:b/>
          <w:bCs/>
          <w:color w:val="000000" w:themeColor="text1"/>
          <w14:ligatures w14:val="none"/>
        </w:rPr>
        <w:t xml:space="preserve">Общественный совет при Росреестре подвел итоги работы за 2025 год.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Итоговое заседание Общественного совета при Росреестре (ОС) состоялось на площадке Общественной палаты (ОП) РФ. Участники подвели итоги работы Совета в 2025 году и утвердили план мероприятий на предстоящий период.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приветственном слове заместитель руководителя аппарата ОП РФ </w:t>
      </w:r>
      <w:r>
        <w:rPr>
          <w:b w:val="0"/>
          <w:bCs w:val="0"/>
          <w:color w:val="000000" w:themeColor="text1"/>
          <w14:ligatures w14:val="none"/>
        </w:rPr>
        <w:t xml:space="preserve">Владимир Балашов</w:t>
      </w:r>
      <w:r>
        <w:rPr>
          <w:b w:val="0"/>
          <w:bCs w:val="0"/>
          <w:color w:val="000000" w:themeColor="text1"/>
          <w14:ligatures w14:val="none"/>
        </w:rPr>
        <w:t xml:space="preserve"> отметил работу совещательного органа при Росреестре и напомнил об итогах рейтинга Общественных советов при ФОИВ за 2025 год, в котором ОС при ведомстве вошел в число лучших.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Председатель ОС </w:t>
      </w:r>
      <w:r>
        <w:rPr>
          <w:b w:val="0"/>
          <w:bCs w:val="0"/>
          <w:color w:val="000000" w:themeColor="text1"/>
          <w14:ligatures w14:val="none"/>
        </w:rPr>
        <w:t xml:space="preserve">Александр Каньшин</w:t>
      </w:r>
      <w:r>
        <w:rPr>
          <w:b w:val="0"/>
          <w:bCs w:val="0"/>
          <w:color w:val="000000" w:themeColor="text1"/>
          <w14:ligatures w14:val="none"/>
        </w:rPr>
        <w:t xml:space="preserve"> отметил слаженность работы Общественного совета и Службы, что позволяет общественникам не только выполнять функцию контроля, но и совместно разрабатывать механизмы для решения важных государственных задач.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«</w:t>
      </w:r>
      <w:r>
        <w:rPr>
          <w:b w:val="0"/>
          <w:bCs w:val="0"/>
          <w:color w:val="000000" w:themeColor="text1"/>
          <w14:ligatures w14:val="none"/>
        </w:rPr>
        <w:t xml:space="preserve">Хочу поблагодарить руководство Общественной палаты РФ и Росреестра за поддержку, создание условий для совместной работы и готовность решать вопросы. Это непростая системная работа, в которой важен диалог бизнеса, общества и государства»,</w:t>
      </w:r>
      <w:r>
        <w:rPr>
          <w:b w:val="0"/>
          <w:bCs w:val="0"/>
          <w:color w:val="000000" w:themeColor="text1"/>
          <w14:ligatures w14:val="none"/>
        </w:rPr>
        <w:t xml:space="preserve"> - отметил он.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Участие в заседании принял руководитель Росреестра </w:t>
      </w:r>
      <w:r>
        <w:rPr>
          <w:b w:val="0"/>
          <w:bCs w:val="0"/>
          <w:color w:val="000000" w:themeColor="text1"/>
          <w14:ligatures w14:val="none"/>
        </w:rPr>
        <w:t xml:space="preserve">Олег Скуфинский</w:t>
      </w:r>
      <w:r>
        <w:rPr>
          <w:b w:val="0"/>
          <w:bCs w:val="0"/>
          <w:color w:val="000000" w:themeColor="text1"/>
          <w14:ligatures w14:val="none"/>
        </w:rPr>
        <w:t xml:space="preserve">. Он напомнил, что предыдущее заседание Общественного совета на площадке ОП РФ состоялось 1,5 года назад. За это время ведомство достигло значимых результатов, и существенный вклад в эту работу внес Общественный совет.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«Сегодня Общественные советы функционируют в 84 территориальных органах Росреестра. Впервые два новых ОС созданы на воссоединенных территориях – в Запорожской области и Луганской Народной Республике. С 2020 года по инициативе Росреестра принято 98 федераль</w:t>
      </w:r>
      <w:r>
        <w:rPr>
          <w:b w:val="0"/>
          <w:bCs w:val="0"/>
          <w:color w:val="000000" w:themeColor="text1"/>
          <w14:ligatures w14:val="none"/>
        </w:rPr>
        <w:t xml:space="preserve">ных законов, из них 12 – в прошлом году.</w:t>
      </w:r>
      <w:r>
        <w:rPr>
          <w:b w:val="0"/>
          <w:bCs w:val="0"/>
          <w:color w:val="000000" w:themeColor="text1"/>
          <w14:ligatures w14:val="none"/>
        </w:rPr>
        <w:t xml:space="preserve"> </w:t>
      </w:r>
      <w:r>
        <w:rPr>
          <w:b w:val="0"/>
          <w:bCs w:val="0"/>
          <w:color w:val="000000" w:themeColor="text1"/>
          <w14:ligatures w14:val="none"/>
        </w:rPr>
        <w:t xml:space="preserve">Многие задачи и проекты, которые реализует Служба, были отработаны вместе с вами на совместных заседаниях, профильных Комиссиях, рабочих группах. Среди них регулирование риелторской деятельности, согласование границ земельных участков, развитие сервисов ци</w:t>
      </w:r>
      <w:r>
        <w:rPr>
          <w:b w:val="0"/>
          <w:bCs w:val="0"/>
          <w:color w:val="000000" w:themeColor="text1"/>
          <w14:ligatures w14:val="none"/>
        </w:rPr>
        <w:t xml:space="preserve">фровой платформы НСПД и электронного взаимодействия Росреестра с юрлицами, в том числе кредитными организациями и застройщиками. Нам важно решать конкретные проблемы людей, и сегодня все видят результат этой совместной работы», - </w:t>
      </w:r>
      <w:r>
        <w:rPr>
          <w:b w:val="0"/>
          <w:bCs w:val="0"/>
          <w:color w:val="000000" w:themeColor="text1"/>
          <w14:ligatures w14:val="none"/>
        </w:rPr>
        <w:t xml:space="preserve">сказал </w:t>
      </w:r>
      <w:r>
        <w:rPr>
          <w:b w:val="0"/>
          <w:bCs w:val="0"/>
          <w:color w:val="000000" w:themeColor="text1"/>
          <w14:ligatures w14:val="none"/>
        </w:rPr>
        <w:t xml:space="preserve">руководитель Росреестра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своем докладе он подвел итоги работы ведомства за 2025 год и продемонстрировал функциональные возможности цифровой платформы «Национальная система пространственных данных». С начала года портал посетили уже более </w:t>
      </w:r>
      <w:r>
        <w:rPr>
          <w:b w:val="0"/>
          <w:bCs w:val="0"/>
          <w:color w:val="000000" w:themeColor="text1"/>
          <w14:ligatures w14:val="none"/>
        </w:rPr>
        <w:t xml:space="preserve">80</w:t>
      </w:r>
      <w:r>
        <w:rPr>
          <w:b w:val="0"/>
          <w:bCs w:val="0"/>
          <w:color w:val="000000" w:themeColor="text1"/>
          <w14:ligatures w14:val="none"/>
        </w:rPr>
        <w:t xml:space="preserve"> млн пользователей (порядка </w:t>
      </w:r>
      <w:r>
        <w:rPr>
          <w:b w:val="0"/>
          <w:bCs w:val="0"/>
          <w:color w:val="000000" w:themeColor="text1"/>
          <w14:ligatures w14:val="none"/>
        </w:rPr>
        <w:t xml:space="preserve">5,5</w:t>
      </w:r>
      <w:r>
        <w:rPr>
          <w:b w:val="0"/>
          <w:bCs w:val="0"/>
          <w:color w:val="000000" w:themeColor="text1"/>
          <w14:ligatures w14:val="none"/>
        </w:rPr>
        <w:t xml:space="preserve"> млн в месяц), что подтверждает значимость и востребованность системы. Сегодня на НСПД созданы и функционируют </w:t>
      </w:r>
      <w:r>
        <w:rPr>
          <w:b w:val="0"/>
          <w:bCs w:val="0"/>
          <w:color w:val="000000" w:themeColor="text1"/>
          <w14:ligatures w14:val="none"/>
        </w:rPr>
        <w:t xml:space="preserve">26 </w:t>
      </w:r>
      <w:r>
        <w:rPr>
          <w:b w:val="0"/>
          <w:bCs w:val="0"/>
          <w:color w:val="000000" w:themeColor="text1"/>
          <w14:ligatures w14:val="none"/>
        </w:rPr>
        <w:t xml:space="preserve">цифровых сервисов.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О планировании законодательных инициатив в сфере регистрации прав рассказал руководитель департамента залогов - старший вице-президент банка ВТБ (ПАО) </w:t>
      </w:r>
      <w:r>
        <w:rPr>
          <w:b w:val="0"/>
          <w:bCs w:val="0"/>
          <w:color w:val="000000" w:themeColor="text1"/>
          <w14:ligatures w14:val="none"/>
        </w:rPr>
        <w:t xml:space="preserve">Антон Вовк</w:t>
      </w:r>
      <w:r>
        <w:rPr>
          <w:b w:val="0"/>
          <w:bCs w:val="0"/>
          <w:color w:val="000000" w:themeColor="text1"/>
          <w14:ligatures w14:val="none"/>
        </w:rPr>
        <w:t xml:space="preserve">. Он предложил ускорить сроки возобновления регистрационных действий после приостановки по инициативе заявителей и рассмотреть альтернативные варианты подачи заявления на возврат госпошлины. Сегодня документы необходимо подавать индивидуальными заявлениями</w:t>
      </w:r>
      <w:r>
        <w:rPr>
          <w:b w:val="0"/>
          <w:bCs w:val="0"/>
          <w:color w:val="000000" w:themeColor="text1"/>
          <w14:ligatures w14:val="none"/>
        </w:rPr>
        <w:t xml:space="preserve"> через личный кабинет на сайте Росреестра.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Также он предложил доработать вопрос о возможности подачи в Росреестр документов формата PDF (сейчас - PDF/A). Это позволит сэкономить бюджетные средства и средства организаций, которые взаимодействуют с Росреест</w:t>
      </w:r>
      <w:r>
        <w:rPr>
          <w:b w:val="0"/>
          <w:bCs w:val="0"/>
          <w:color w:val="000000" w:themeColor="text1"/>
          <w14:ligatures w14:val="none"/>
        </w:rPr>
        <w:t xml:space="preserve">ром.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 докладом об учреждении общественной награды Общественного совета при Росреестре выступила заместитель председателя Совета, президент некоммерческого партнерства «Национальное объединение технологических и ценовых аудиторов» </w:t>
      </w:r>
      <w:r>
        <w:rPr>
          <w:b w:val="0"/>
          <w:bCs w:val="0"/>
          <w:color w:val="000000" w:themeColor="text1"/>
          <w14:ligatures w14:val="none"/>
        </w:rPr>
        <w:t xml:space="preserve">Анна Лупашко</w:t>
      </w:r>
      <w:r>
        <w:rPr>
          <w:b w:val="0"/>
          <w:bCs w:val="0"/>
          <w:color w:val="000000" w:themeColor="text1"/>
          <w14:ligatures w14:val="none"/>
        </w:rPr>
        <w:t xml:space="preserve">. По ее словам, общественные награды помогут повысить авторитет ОС и станут инструментом общественного влияния. Подобная практика есть у других ОС при федеральных органах власти. Награды предлагается вручать коллективам и сотрудникам ведомства, участникам </w:t>
      </w:r>
      <w:r>
        <w:rPr>
          <w:b w:val="0"/>
          <w:bCs w:val="0"/>
          <w:color w:val="000000" w:themeColor="text1"/>
          <w14:ligatures w14:val="none"/>
        </w:rPr>
        <w:t xml:space="preserve">рынка недвижимости и активным гражданам.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Еще несколько предложений по развитию электронного взаимодействия с Росреестром и доработке платформы НСПД прозвучало от члена ОС, президента Ассоциации НП «Клуб корпоративных собственников» </w:t>
      </w:r>
      <w:r>
        <w:rPr>
          <w:b w:val="0"/>
          <w:bCs w:val="0"/>
          <w:color w:val="000000" w:themeColor="text1"/>
          <w14:ligatures w14:val="none"/>
        </w:rPr>
        <w:t xml:space="preserve">Алексея Харламова</w:t>
      </w:r>
      <w:r>
        <w:rPr>
          <w:b w:val="0"/>
          <w:bCs w:val="0"/>
          <w:color w:val="000000" w:themeColor="text1"/>
          <w14:ligatures w14:val="none"/>
        </w:rPr>
        <w:t xml:space="preserve">. Все они будут рассмотрены. ПАО «Газпром» подключат к работе межрегиональной рабочей группы Росреестра по развитию НСПД.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Секретарь ОС, начальник Управления международного сотрудничества, информационной политики и специальных проектов </w:t>
      </w:r>
      <w:r>
        <w:rPr>
          <w:b w:val="0"/>
          <w:bCs w:val="0"/>
          <w:color w:val="000000" w:themeColor="text1"/>
          <w14:ligatures w14:val="none"/>
        </w:rPr>
        <w:t xml:space="preserve">Сергей Дуброва</w:t>
      </w:r>
      <w:r>
        <w:rPr>
          <w:b w:val="0"/>
          <w:bCs w:val="0"/>
          <w:color w:val="000000" w:themeColor="text1"/>
          <w14:ligatures w14:val="none"/>
        </w:rPr>
        <w:t xml:space="preserve"> рассказал о результатах и дальнейших планах по развитию медиапроекта Совета в социальных сетях. Его инициатором является член ОС </w:t>
      </w:r>
      <w:r>
        <w:rPr>
          <w:b w:val="0"/>
          <w:bCs w:val="0"/>
          <w:color w:val="000000" w:themeColor="text1"/>
          <w14:ligatures w14:val="none"/>
        </w:rPr>
        <w:t xml:space="preserve">Владимир Яхимович</w:t>
      </w:r>
      <w:r>
        <w:rPr>
          <w:b w:val="0"/>
          <w:bCs w:val="0"/>
          <w:color w:val="000000" w:themeColor="text1"/>
          <w14:ligatures w14:val="none"/>
        </w:rPr>
        <w:t xml:space="preserve">. В 2026 году планируется записать видеоролик о деятельности Росреестра.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 заседании был утвержден план мероприятий ОС на следующий год.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завершение руководитель Росреестра </w:t>
      </w:r>
      <w:r>
        <w:rPr>
          <w:b w:val="0"/>
          <w:bCs w:val="0"/>
          <w:color w:val="000000" w:themeColor="text1"/>
          <w14:ligatures w14:val="none"/>
        </w:rPr>
        <w:t xml:space="preserve">Олег Скуфинский</w:t>
      </w:r>
      <w:r>
        <w:rPr>
          <w:b w:val="0"/>
          <w:bCs w:val="0"/>
          <w:color w:val="000000" w:themeColor="text1"/>
          <w14:ligatures w14:val="none"/>
        </w:rPr>
        <w:t xml:space="preserve"> поблагодарил Общественный совет при ведомстве за продуктивную командную работу в 2025 году и наградил ведомственными наградами ряд его активных членов.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14:ligatures w14:val="none"/>
        </w:rPr>
        <w:t xml:space="preserve">3.</w:t>
      </w:r>
      <w:r>
        <w:rPr>
          <w:b/>
          <w:bCs/>
          <w:color w:val="000000" w:themeColor="text1"/>
          <w14:ligatures w14:val="none"/>
        </w:rPr>
        <w:t xml:space="preserve"> </w:t>
      </w:r>
      <w:r>
        <w:rPr>
          <w:b/>
          <w:bCs/>
          <w:color w:val="000000" w:themeColor="text1"/>
          <w14:ligatures w14:val="none"/>
        </w:rPr>
        <w:t xml:space="preserve">С 2026 года граждане в досудебном порядке могут обжаловать приостановление регистрации прав на недвижимость.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 1 января 2026 года у граждан появилась возможность досудебного обжалования решений о приостановлении государственной регистрации прав на недвижимое имущество. Ранее такой порядок действовал только в отношении приостановлений кадастрового учета.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июле 2</w:t>
      </w:r>
      <w:r>
        <w:rPr>
          <w:b w:val="0"/>
          <w:bCs w:val="0"/>
          <w:color w:val="000000" w:themeColor="text1"/>
          <w14:ligatures w14:val="none"/>
        </w:rPr>
        <w:t xml:space="preserve">024 года Президент России </w:t>
      </w:r>
      <w:r>
        <w:rPr>
          <w:b w:val="0"/>
          <w:bCs w:val="0"/>
          <w:color w:val="000000" w:themeColor="text1"/>
          <w14:ligatures w14:val="none"/>
        </w:rPr>
        <w:t xml:space="preserve">Владимир Путин</w:t>
      </w:r>
      <w:r>
        <w:rPr>
          <w:b w:val="0"/>
          <w:bCs w:val="0"/>
          <w:color w:val="000000" w:themeColor="text1"/>
          <w14:ligatures w14:val="none"/>
        </w:rPr>
        <w:t xml:space="preserve"> </w:t>
      </w:r>
      <w:hyperlink r:id="rId37" w:tooltip="https://rosreestr.gov.ru/press/archive/prezident-podpisal-zakon-o-vnesudebnom-obzhalovanii-priostanovleniy/?ysclid=mkc8vi18tq429727119" w:history="1">
        <w:r>
          <w:rPr>
            <w:b w:val="0"/>
            <w:bCs w:val="0"/>
            <w:color w:val="000000" w:themeColor="text1"/>
            <w14:ligatures w14:val="none"/>
          </w:rPr>
          <w:t xml:space="preserve">подписал</w:t>
        </w:r>
      </w:hyperlink>
      <w:r>
        <w:rPr>
          <w:b w:val="0"/>
          <w:bCs w:val="0"/>
          <w:color w:val="000000" w:themeColor="text1"/>
          <w14:ligatures w14:val="none"/>
        </w:rPr>
        <w:t xml:space="preserve"> разработанный Росреестром закон, устанавливающий возможность внесудебного обжал</w:t>
      </w:r>
      <w:r>
        <w:rPr>
          <w:b w:val="0"/>
          <w:bCs w:val="0"/>
          <w:color w:val="000000" w:themeColor="text1"/>
          <w14:ligatures w14:val="none"/>
        </w:rPr>
        <w:t xml:space="preserve">ования решений о приостановлении государственной регистрации прав на недвижимое имущество. В июле 2025 года </w:t>
      </w:r>
      <w:hyperlink r:id="rId38" w:tooltip="http://publication.pravo.gov.ru/document/0001202509220008?index=2" w:history="1">
        <w:r>
          <w:rPr>
            <w:b w:val="0"/>
            <w:bCs w:val="0"/>
            <w:color w:val="000000" w:themeColor="text1"/>
            <w14:ligatures w14:val="none"/>
          </w:rPr>
          <w:t xml:space="preserve">приказом Росреестра</w:t>
        </w:r>
      </w:hyperlink>
      <w:r>
        <w:rPr>
          <w:b w:val="0"/>
          <w:bCs w:val="0"/>
          <w:color w:val="000000" w:themeColor="text1"/>
          <w14:ligatures w14:val="none"/>
        </w:rPr>
        <w:t xml:space="preserve"> </w:t>
      </w:r>
      <w:r>
        <w:rPr>
          <w:b w:val="0"/>
          <w:bCs w:val="0"/>
          <w:color w:val="000000" w:themeColor="text1"/>
          <w14:ligatures w14:val="none"/>
        </w:rPr>
        <w:t xml:space="preserve">от 01.07.2025 № П/0237/25</w:t>
      </w:r>
      <w:r>
        <w:rPr>
          <w:b w:val="0"/>
          <w:bCs w:val="0"/>
          <w:color w:val="000000" w:themeColor="text1"/>
          <w14:ligatures w14:val="none"/>
        </w:rPr>
        <w:t xml:space="preserve"> </w:t>
      </w:r>
      <w:r>
        <w:rPr>
          <w:b w:val="0"/>
          <w:bCs w:val="0"/>
          <w:color w:val="000000" w:themeColor="text1"/>
          <w14:ligatures w14:val="none"/>
        </w:rPr>
        <w:t xml:space="preserve">утверждено Положение о порядке формирования и работы апелляционных комиссий, которые будут рассматривать соответствующие заявления об обжаловании.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«</w:t>
      </w:r>
      <w:r>
        <w:rPr>
          <w:b w:val="0"/>
          <w:bCs w:val="0"/>
          <w:color w:val="000000" w:themeColor="text1"/>
          <w14:ligatures w14:val="none"/>
        </w:rPr>
        <w:t xml:space="preserve">Досудебный порядок обжалования решений о приостановлении позволит урегулировать часть спорных решений во внесудебном порядке, снизив нагрузку на судебную систему. Также это повысит качество оказан</w:t>
      </w:r>
      <w:r>
        <w:rPr>
          <w:b w:val="0"/>
          <w:bCs w:val="0"/>
          <w:color w:val="000000" w:themeColor="text1"/>
          <w14:ligatures w14:val="none"/>
        </w:rPr>
        <w:t xml:space="preserve">ия государственных услуг по осуществлению государственного к</w:t>
      </w:r>
      <w:r>
        <w:rPr>
          <w:b w:val="0"/>
          <w:bCs w:val="0"/>
          <w:color w:val="000000" w:themeColor="text1"/>
          <w14:ligatures w14:val="none"/>
        </w:rPr>
        <w:t xml:space="preserve">адастрового учета и (или) государственной регистрации прав</w:t>
      </w:r>
      <w:r>
        <w:rPr>
          <w:b w:val="0"/>
          <w:bCs w:val="0"/>
          <w:color w:val="000000" w:themeColor="text1"/>
          <w14:ligatures w14:val="none"/>
        </w:rPr>
        <w:t xml:space="preserve">», - отметила заместитель руководителя Росреестра </w:t>
      </w:r>
      <w:r>
        <w:rPr>
          <w:b w:val="0"/>
          <w:bCs w:val="0"/>
          <w:color w:val="000000" w:themeColor="text1"/>
          <w14:ligatures w14:val="none"/>
        </w:rPr>
        <w:t xml:space="preserve">Людмила Лилина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Заявление об обжаловании уведомления можно направить: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в центральную апелляционную комиссию, созданную при Росреестре, - если приостановление касается объектов, которые являются предприятиями как имущественным комплексом, или объектов недвижимости, расположенных на территории более чем одного кадастрового окру</w:t>
      </w:r>
      <w:r>
        <w:rPr>
          <w:b w:val="0"/>
          <w:bCs w:val="0"/>
          <w:color w:val="000000" w:themeColor="text1"/>
          <w14:ligatures w14:val="none"/>
        </w:rPr>
        <w:t xml:space="preserve">га (например, железная дорогая, газопровод и т.д.);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firstLine="0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региональные апелляционные комиссии, созданные при территориальных органах Росреестра, - если приостановление регистрации прав касается всех остальных объектов недвижимости (например, помещений, объектов капитального строительства, земельных участков и т</w:t>
      </w:r>
      <w:r>
        <w:rPr>
          <w:b w:val="0"/>
          <w:bCs w:val="0"/>
          <w:color w:val="000000" w:themeColor="text1"/>
          <w14:ligatures w14:val="none"/>
        </w:rPr>
        <w:t xml:space="preserve">.д.).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Заседания апелляционной комиссии будут проводиться как очно, так и в дистанционном формате. На них смогут присутствовать заявители, государственные регистраторы прав, принявшие обжалуемые решения, и иные лица.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Заявление об обжаловании (ссылка) необходимо представить в течение 15 рабочих дней с даты принятия решения о приостановления в апелляционную комиссию по месту нахождения органа регистрации прав, принявшего данное решение.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При рассмотрении заявлений об обжаловании апелляционная комиссия будет оценивать обоснованность принятия решения о приостановлении и, при необходимости, запрашивать необходимые документы и материалы.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Решение об удовлетворении или отклонении заявления должно быть принято в срок не более 15 рабочих дней со дня его регистрации. Результат будет направляться заявителю.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 информацией о порядке работы апелляционных комиссий, формой заявления об обжаловании решений о приостановлении, а также способами подачи заявления можно ознакомиться на официальном сайте Росреестра в </w:t>
      </w:r>
      <w:hyperlink r:id="rId39" w:tooltip="https://rosreestr.gov.ru/activity/okazanie-gosudarstvennykh-uslug/apellyatsionnye-komissii/" w:history="1">
        <w:r>
          <w:rPr>
            <w:b w:val="0"/>
            <w:bCs w:val="0"/>
            <w:color w:val="000000" w:themeColor="text1"/>
            <w14:ligatures w14:val="none"/>
          </w:rPr>
          <w:t xml:space="preserve">разделе «Апелляционные комиссии»</w:t>
        </w:r>
      </w:hyperlink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14:ligatures w14:val="none"/>
        </w:rPr>
        <w:t xml:space="preserve">4. </w:t>
      </w:r>
      <w:r>
        <w:rPr>
          <w:b/>
          <w:bCs/>
          <w:color w:val="000000" w:themeColor="text1"/>
          <w14:ligatures w14:val="none"/>
        </w:rPr>
        <w:t xml:space="preserve">В рамках проекта «Земля для туризма» выявлено 32,5 тыс. га для создания курортов, спортивных и культурных объектов.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 начала реализации Росреестром проекта «Земля для туризма» (июль 2021 года) по 1 января 2026 года выявлено почти </w:t>
      </w:r>
      <w:r>
        <w:rPr>
          <w:b w:val="0"/>
          <w:bCs w:val="0"/>
          <w:color w:val="000000" w:themeColor="text1"/>
          <w14:ligatures w14:val="none"/>
        </w:rPr>
        <w:t xml:space="preserve">1,6</w:t>
      </w:r>
      <w:r>
        <w:rPr>
          <w:b w:val="0"/>
          <w:bCs w:val="0"/>
          <w:color w:val="000000" w:themeColor="text1"/>
          <w14:ligatures w14:val="none"/>
        </w:rPr>
        <w:t xml:space="preserve"> тыс. земельных участков и территорий общей площадью </w:t>
      </w:r>
      <w:r>
        <w:rPr>
          <w:b w:val="0"/>
          <w:bCs w:val="0"/>
          <w:color w:val="000000" w:themeColor="text1"/>
          <w14:ligatures w14:val="none"/>
        </w:rPr>
        <w:t xml:space="preserve">32,5</w:t>
      </w:r>
      <w:r>
        <w:rPr>
          <w:b w:val="0"/>
          <w:bCs w:val="0"/>
          <w:color w:val="000000" w:themeColor="text1"/>
          <w14:ligatures w14:val="none"/>
        </w:rPr>
        <w:t xml:space="preserve"> тыс. га, которые можно использовать для вовлечения в туристическую деятельность. Определено около 1,2 тыс. объектов туристического интереса.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«Проект «Земля для туризма» зарекомендовал себя как эффективный инструмент для устойчивого развития территорий и вовлечения в оборот неиспользуемых земель.</w:t>
      </w:r>
      <w:r>
        <w:rPr>
          <w:b w:val="0"/>
          <w:bCs w:val="0"/>
          <w:color w:val="000000" w:themeColor="text1"/>
          <w14:ligatures w14:val="none"/>
        </w:rPr>
        <w:t xml:space="preserve"> </w:t>
      </w:r>
      <w:r>
        <w:rPr>
          <w:b w:val="0"/>
          <w:bCs w:val="0"/>
          <w:color w:val="000000" w:themeColor="text1"/>
          <w14:ligatures w14:val="none"/>
        </w:rPr>
        <w:t xml:space="preserve">С учетом активного развития внутреннего туризма важно совершенствовать новые туристические направления и маршруты. В рамках проекта Росреестр совместно с ППК «Роскадастр» и региональными органами власти ведут работу по поиску перспективных участков. К его </w:t>
      </w:r>
      <w:r>
        <w:rPr>
          <w:b w:val="0"/>
          <w:bCs w:val="0"/>
          <w:color w:val="000000" w:themeColor="text1"/>
          <w14:ligatures w14:val="none"/>
        </w:rPr>
        <w:t xml:space="preserve">реализации подключились уже 84 региона. С 2021 года в оборот вовлечено 286 участков и территорий площадью свыше 1,1 тыс. га. В 2025 году выявлено 459 участка площадью 13 тыс. га для создания туристических объектов, а также 244 объекта туристического интере</w:t>
      </w:r>
      <w:r>
        <w:rPr>
          <w:b w:val="0"/>
          <w:bCs w:val="0"/>
          <w:color w:val="000000" w:themeColor="text1"/>
          <w14:ligatures w14:val="none"/>
        </w:rPr>
        <w:t xml:space="preserve">са», </w:t>
      </w:r>
      <w:r>
        <w:rPr>
          <w:b w:val="0"/>
          <w:bCs w:val="0"/>
          <w:color w:val="000000" w:themeColor="text1"/>
          <w14:ligatures w14:val="none"/>
        </w:rPr>
        <w:t xml:space="preserve">- сообщил руководитель Росреестра Олег Скуфинский.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2025 году в проект вошли еще 4 региона: Рязанская область, Карачаево‑Черкесская Республика, Республика Мордовия и Ханты‑Мансийский автономный округ.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Сегодня в сервисе </w:t>
      </w:r>
      <w:hyperlink r:id="rId40" w:tooltip="https://nspd.gov.ru/tourism-nspd" w:history="1">
        <w:r>
          <w:rPr>
            <w:b w:val="0"/>
            <w:bCs w:val="0"/>
            <w:color w:val="000000" w:themeColor="text1"/>
            <w14:ligatures w14:val="none"/>
          </w:rPr>
          <w:t xml:space="preserve">«Земля для туризма»</w:t>
        </w:r>
      </w:hyperlink>
      <w:r>
        <w:rPr>
          <w:b w:val="0"/>
          <w:bCs w:val="0"/>
          <w:color w:val="000000" w:themeColor="text1"/>
          <w14:ligatures w14:val="none"/>
        </w:rPr>
        <w:t xml:space="preserve">, который доступен на платформе </w:t>
      </w:r>
      <w:hyperlink r:id="rId41" w:tooltip="https://nspd.gov.ru/#services_section" w:history="1">
        <w:r>
          <w:rPr>
            <w:b w:val="0"/>
            <w:bCs w:val="0"/>
            <w:color w:val="000000" w:themeColor="text1"/>
            <w14:ligatures w14:val="none"/>
          </w:rPr>
          <w:t xml:space="preserve">НСПД</w:t>
        </w:r>
      </w:hyperlink>
      <w:r>
        <w:rPr>
          <w:b w:val="0"/>
          <w:bCs w:val="0"/>
          <w:color w:val="000000" w:themeColor="text1"/>
          <w14:ligatures w14:val="none"/>
        </w:rPr>
        <w:t xml:space="preserve">, размещены сведения об 1,2 тыс. свободных территориях общей площадью около 30 тыс. га. Все желающие, в том числе потенциальные инвесторы, могут в режиме онлайн подать заявление о предоставлении интересующего участка.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число регионов-лидеров по вовлеченн</w:t>
      </w:r>
      <w:r>
        <w:rPr>
          <w:b w:val="0"/>
          <w:bCs w:val="0"/>
          <w:color w:val="000000" w:themeColor="text1"/>
          <w14:ligatures w14:val="none"/>
        </w:rPr>
        <w:t xml:space="preserve">ым землям попали Республика Дагестан (115 участков площадью 161,7 га), Челябинская область (9 участков площадью 131,7 га), Приморский край (7 участков площадью 131,1 га), Удмуртская Республика (10 участков площадью 98,7 га) и Республика Бурятия (1 участок </w:t>
      </w:r>
      <w:r>
        <w:rPr>
          <w:b w:val="0"/>
          <w:bCs w:val="0"/>
          <w:color w:val="000000" w:themeColor="text1"/>
          <w14:ligatures w14:val="none"/>
        </w:rPr>
        <w:t xml:space="preserve">площадью 82,6 га).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Так, в Дагестане на значительной части вовлеченных земель реализуется масштабный проект по строительству всесезонного туристско-рекреационного курорта. Он будет расположен на берегу Каспийского моря, вдоль пляжной полосы протяженностью </w:t>
      </w:r>
      <w:r>
        <w:rPr>
          <w:b w:val="0"/>
          <w:bCs w:val="0"/>
          <w:color w:val="000000" w:themeColor="text1"/>
          <w14:ligatures w14:val="none"/>
        </w:rPr>
        <w:t xml:space="preserve">6,5 км.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Челябинской области на территории национального парка «Зюраткуль» две территории используются для строительства туристического комплекса, а в рабочем посёлке Магнитка Кусинского района на вовлечённом участке уже функционирует детский военно-патр</w:t>
      </w:r>
      <w:r>
        <w:rPr>
          <w:b w:val="0"/>
          <w:bCs w:val="0"/>
          <w:color w:val="000000" w:themeColor="text1"/>
          <w14:ligatures w14:val="none"/>
        </w:rPr>
        <w:t xml:space="preserve">иотический лагерь.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Приморском крае вовлечены в оборот 2 участка вблизи Маяка Гамова в Хасанском муниципальном округе и 5 территорий в Артемовском городском округе. В настоящее время идет разработка проектной документации будущих объектов.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Бурятии выя</w:t>
      </w:r>
      <w:r>
        <w:rPr>
          <w:b w:val="0"/>
          <w:bCs w:val="0"/>
          <w:color w:val="000000" w:themeColor="text1"/>
          <w14:ligatures w14:val="none"/>
        </w:rPr>
        <w:t xml:space="preserve">вленный в 2025 году участок площадью 30 га планируется использовать для развития сельского агротуризма. В Прибайкальском районе продолжается реализация проекта «Чудо Байкал» и строительство многофункционального креативного кластера «Лотос». Проект предпола</w:t>
      </w:r>
      <w:r>
        <w:rPr>
          <w:b w:val="0"/>
          <w:bCs w:val="0"/>
          <w:color w:val="000000" w:themeColor="text1"/>
          <w14:ligatures w14:val="none"/>
        </w:rPr>
        <w:t xml:space="preserve">гает возведение гостиничного и спортивного комплексов вблизи села Горячинск.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Среди федеральных округов лидером по площади выявленных земель остается Сибирский федеральный округ (281 участок площадью 20,67 тыс. га), Северо-Западный (135 участков площадью 3</w:t>
      </w:r>
      <w:r>
        <w:rPr>
          <w:b w:val="0"/>
          <w:bCs w:val="0"/>
          <w:color w:val="000000" w:themeColor="text1"/>
          <w14:ligatures w14:val="none"/>
        </w:rPr>
        <w:t xml:space="preserve">,35 тыс. га) и Приволжский (441 участок площадью 2,95 тыс. га) федеральные округа.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Среди регионов высокие результаты у Республики Хакасия (20 территорий площадью 9,9 тыс. га), Новосибирской области (41 участок площадью 9 тыс. га), Мурманской области (17 у</w:t>
      </w:r>
      <w:r>
        <w:rPr>
          <w:b w:val="0"/>
          <w:bCs w:val="0"/>
          <w:color w:val="000000" w:themeColor="text1"/>
          <w14:ligatures w14:val="none"/>
        </w:rPr>
        <w:t xml:space="preserve">частков площадью 948,4 га), Республики Карелия (16 участков площадью 859,8 га) и Челябинской области (80 участков площадью 897,5 га).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Наибольшее количество выявленных объектов туристического интереса - в Вологодской (110), Новосибирской областях (83), Пер</w:t>
      </w:r>
      <w:r>
        <w:rPr>
          <w:b w:val="0"/>
          <w:bCs w:val="0"/>
          <w:color w:val="000000" w:themeColor="text1"/>
          <w14:ligatures w14:val="none"/>
        </w:rPr>
        <w:t xml:space="preserve">мском крае (67), Челябинской (52) и Свердловской областях (47). В список входят национальные парки, заповедники, памятники архитектуры и другие объекты.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Справочно: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Проект «Земля для туризма» реализуется по решению Правительственной комиссии по региональному развитию в РФ. Работа в рамках проекта ведётся в тесном взаимодействии с главами регионов. Поиском подходящих территорий занимаются оперативные штабы, они же анал</w:t>
      </w:r>
      <w:r>
        <w:rPr>
          <w:b w:val="0"/>
          <w:bCs w:val="0"/>
          <w:color w:val="000000" w:themeColor="text1"/>
          <w14:ligatures w14:val="none"/>
        </w:rPr>
        <w:t xml:space="preserve">изируют их потенциал и разрабатывают стратегии для улучшения использования земли. В состав штабов входят представители территориальных управлений Росреестра, филиалов ППК «Роскадастр», региональных органов власти и профессионального сообщества.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  <w:t xml:space="preserve">5. </w:t>
      </w:r>
      <w:r>
        <w:rPr>
          <w:b/>
          <w:bCs/>
          <w:color w:val="000000" w:themeColor="text1"/>
          <w14:ligatures w14:val="none"/>
        </w:rPr>
        <w:t xml:space="preserve">Вопрос-ответ: что делать, если вам пришло уведомление о начале проведения комплексных кадастровых работ?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Росреестр продолжает публиковать материалы, посвященные разъяснению актуальных вопросов в сфере земли и недвижимости. В этот раз подробно расскажем о порядке проведения комплексных кадастровых работ и о том, что делать собственникам объектов недвижимости, </w:t>
      </w:r>
      <w:r>
        <w:rPr>
          <w:b w:val="0"/>
          <w:bCs w:val="0"/>
          <w:color w:val="000000" w:themeColor="text1"/>
          <w14:ligatures w14:val="none"/>
        </w:rPr>
        <w:t xml:space="preserve">в отношении которых принято решение о выполнении комплексных кадастровых работ (ККР). Что это такое?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ККР – это кадастровые работы в отношении сразу всех земельных участков, зданий и сооружений, расположенных на территории одного или нескольких кадастровых</w:t>
      </w:r>
      <w:r>
        <w:rPr>
          <w:b w:val="0"/>
          <w:bCs w:val="0"/>
          <w:color w:val="000000" w:themeColor="text1"/>
          <w14:ligatures w14:val="none"/>
        </w:rPr>
        <w:t xml:space="preserve"> кварталов. 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Их цель: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уточнение границ земельных участков;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установление или уточнение местоположения объектов капитального, а также незавершенного строительства на земельных участках;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образование земельных участков;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исправление реестровых ошибок в сведениях Единого государственного реестра недвижимости (ЕГРН);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исключение дублирующих сведений ЕГРН;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выявление правообладателей;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выявление неучтенных объектов недвижимости.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Результаты ККР отражаются в специальном документе – карте-плане территории. В последующем все сведения из нее вносятся в ЕГРН.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Для чего нужны ККР?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ККР имеют важное значение для экономики и социальной сферы регионов, поскольку в их результате: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формируется точная и справедливая налоговая база;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предотвращаются споры и тяжбы между правообладателями недвижимости;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увеличивается эффективность управления территориями и планирования их застройки;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right="0" w:firstLine="709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повышается прозрачность рынка недвижимости, в том числе процедуры предоставления земли.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Важно! Для граждан ККР – это прежде всего экономия денежных средств и временных затрат на оформление недвижимости в соответствии с требованием закона.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Кто проводит ККР?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отличие от обычных кадастровых работ, которые проводятся кадастровыми инженерами только по инициативе отдельных собственников и за их счёт, ККР инициируются и финансируются государством или проводятся по инициативе правообладателей недвижимости за их сре</w:t>
      </w:r>
      <w:r>
        <w:rPr>
          <w:b w:val="0"/>
          <w:bCs w:val="0"/>
          <w:color w:val="000000" w:themeColor="text1"/>
          <w14:ligatures w14:val="none"/>
        </w:rPr>
        <w:t xml:space="preserve">дства.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Начиная с 2025 года, ККР федерального значения осуществляет публично-правовая компания «Роскадастр», полномочия учредителя которой от имени Российской Федерации исполняет Росреестр. Теперь государству стало проще контролировать качество выполнения ККР.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Если выполнение работ за счет бюджетных средств не предполагается, правообладатель-заказчик заключает договор подряда с ИП - кадастровым инженером или юрлицом, которое имеет в штате не менее двух таких специалистов (включая ППК «Роскадастр»). Обязательным </w:t>
      </w:r>
      <w:r>
        <w:rPr>
          <w:b w:val="0"/>
          <w:bCs w:val="0"/>
          <w:color w:val="000000" w:themeColor="text1"/>
          <w14:ligatures w14:val="none"/>
        </w:rPr>
        <w:t xml:space="preserve">условием статуса кадастрового инженера является его членство в СРО.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Как проходят ККР?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 подготовительном этапе, как правило за год до начала самих работ, региональные органы власти определяют населенные пункты и кадастровые кварталы, где необходимо навести порядок с границами участков и местоположением объектов.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Узнать, попадает ли ваш объект под ККР можно: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firstLine="0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 сайте Росреестра в разделе «Деятельность &gt; Обеспечение кадастровой деятельности &gt; Комплексные кадастровые работы»</w:t>
      </w:r>
      <w:r>
        <w:rPr>
          <w:b w:val="0"/>
          <w:bCs w:val="0"/>
          <w:color w:val="000000" w:themeColor="text1"/>
          <w14:ligatures w14:val="none"/>
        </w:rPr>
        <w:t xml:space="preserve">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firstLine="0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 сайте ППК «Роскадастр» в разделе «Банк документов», а также в разделе «Новости»</w:t>
      </w:r>
      <w:r>
        <w:rPr>
          <w:b w:val="0"/>
          <w:bCs w:val="0"/>
          <w:color w:val="000000" w:themeColor="text1"/>
          <w14:ligatures w14:val="none"/>
        </w:rPr>
        <w:t xml:space="preserve">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firstLine="0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 сайтах муниципальных администраций;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ind w:left="0" w:firstLine="0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 информационных щитах и стендах - в СНТ, населенных пунктах.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рамках проведения ККР</w:t>
      </w:r>
      <w:r>
        <w:rPr>
          <w:b w:val="0"/>
          <w:bCs w:val="0"/>
          <w:color w:val="000000" w:themeColor="text1"/>
          <w14:ligatures w14:val="none"/>
        </w:rPr>
        <w:t xml:space="preserve"> </w:t>
      </w:r>
      <w:r>
        <w:rPr>
          <w:b w:val="0"/>
          <w:bCs w:val="0"/>
          <w:color w:val="000000" w:themeColor="text1"/>
          <w14:ligatures w14:val="none"/>
        </w:rPr>
        <w:t xml:space="preserve">исполнитель проводит все предусмотренные законодательством мероприятия, согласительная комиссия согласовывает уточненное местоположение границ земельных участков, после чего заказчик ККР (администрация) утверждает карту-план.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Далее утвержденная карта-план направляется в Росреестр и уточненные сведения вносятся в ЕГРН.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Как владельцу недвижимости действовать при проведении ККР?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О начале ККР правообладатели объектов недвижимости, как правило, узнают из извещений - по почте, электронному адресу (если он есть в ЕГРН) или через портал «Госуслуги».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Первое и самое важное, что нужно сделать при получении такого извещения, – убедиться, что оно направлено той организацией, которая уполномочена проводить ККР в вашем регионе. Исполнителя ККР можно узнать из извещения о начале выполнения работ, размещенного</w:t>
      </w:r>
      <w:r>
        <w:rPr>
          <w:b w:val="0"/>
          <w:bCs w:val="0"/>
          <w:color w:val="000000" w:themeColor="text1"/>
          <w14:ligatures w14:val="none"/>
        </w:rPr>
        <w:t xml:space="preserve"> на сайте Росреестра или ППК «Роскадастр».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Важно! Извещение о проведении ККР не направляется через мессенджеры или социальные сети. Оно не может содержать ссылки на сторонние сайты, запросы паролей или требования оплаты. Если вам поступило похожее сообщение, это действия мошенников и реагировать на</w:t>
      </w:r>
      <w:r>
        <w:rPr>
          <w:b w:val="0"/>
          <w:bCs w:val="0"/>
          <w:color w:val="000000" w:themeColor="text1"/>
          <w14:ligatures w14:val="none"/>
        </w:rPr>
        <w:t xml:space="preserve"> него ни в коем случае нельзя.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 этапе полевых работ, если они проводятся с выездом на местность, нужно обеспечить доступ на участок и к постройкам – без этого кадастровый инженер не сможет произвести замеры, необходимые для подготовки карты-плана территории.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Важно! По закону правообладатели недвижимости, в отношении которой проводятся ККР, не вправе препятствовать выполнению работ.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Кроме того, если права на участок и постройки не зарегистрированы в ЕГРН, но на руках есть правоустанавливающие документы (старые свидетельства на землю, госакты и пр.), их нужно предоставить кадастровому инженеру. А ещё лучше обратиться с ними в Росреестр</w:t>
      </w:r>
      <w:r>
        <w:rPr>
          <w:b w:val="0"/>
          <w:bCs w:val="0"/>
          <w:color w:val="000000" w:themeColor="text1"/>
          <w14:ligatures w14:val="none"/>
        </w:rPr>
        <w:t xml:space="preserve"> и зарегистрировать ранее возникшее право собственности. Это гарантия юридической безопасности ваших прав!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 этапе согласования уточненных границ собственник должен ознакомиться с подготовленным проектом карты-плана территории и согласовать его.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Если есть возражения, то их надо в письменном виде подать в специально созданную согласительную комиссию. Информация о ней и её заседаниях публикуется на официальных сайтах муниципальных администраций, в районных СМИ.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Следует иметь в виду, что законом установлены минимальные и максимальные параметры возможного уменьшения или увеличения площади участка. По общему правилу она может измениться не более чем на 10% по сравнению с указанной в ЕГРН.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Важно! Если площадь участка уменьшилась более чем на 10%, сведения о нём могут быть включены в карту-план территории только с письменного согласия правообладателя. Без такого согласия осуществление государственного кадастрового учета приостанавливается!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14:ligatures w14:val="none"/>
        </w:rPr>
        <w:t xml:space="preserve">6. </w:t>
      </w:r>
      <w:r>
        <w:rPr>
          <w:b/>
          <w:bCs/>
          <w:color w:val="000000" w:themeColor="text1"/>
          <w14:ligatures w14:val="none"/>
        </w:rPr>
        <w:t xml:space="preserve">10 лет закону о геодезии, картографии и пространственных данных.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30 декабря 2015 года был принят Федеральный закон № 431-ФЗ «О геодезии, картографии и пространственных данных и о внесении изменений в отдельные законодательные акты Российской Федерации».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Этот закон является важной вехой в развитии геодезии и картографии</w:t>
      </w:r>
      <w:r>
        <w:rPr>
          <w:b w:val="0"/>
          <w:bCs w:val="0"/>
          <w:color w:val="000000" w:themeColor="text1"/>
          <w14:ligatures w14:val="none"/>
        </w:rPr>
        <w:t xml:space="preserve">. Урегулированы отношения, возникающие при осуществлении геодезической и картографической деятельности, определено создание федеральных, ведомственных и региональных фондов пространственных данных.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Региональный фонд пространственных данных Новосибирской о</w:t>
      </w:r>
      <w:r>
        <w:rPr>
          <w:b w:val="0"/>
          <w:bCs w:val="0"/>
          <w:color w:val="000000" w:themeColor="text1"/>
          <w14:ligatures w14:val="none"/>
        </w:rPr>
        <w:t xml:space="preserve">бласти содержит боле 25 тысяч единиц хранения. Фондодержателем является государственное бюджетное учреждение Новосибирской области «Фонд пространственных данных Новосибирской области».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За истекший период на территории Новосибирской области создан регионал</w:t>
      </w:r>
      <w:r>
        <w:rPr>
          <w:b w:val="0"/>
          <w:bCs w:val="0"/>
          <w:color w:val="000000" w:themeColor="text1"/>
          <w14:ligatures w14:val="none"/>
        </w:rPr>
        <w:t xml:space="preserve">ьный сегмент федеральной сети геодезических станций, состоящий из 71 станции - региональных и частных.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Современный период развития геодезии и картографии знаменуется  созданием новых геоинформационных систем и сервисов. В рамках реализации госпрограммы «Н</w:t>
      </w:r>
      <w:r>
        <w:rPr>
          <w:b w:val="0"/>
          <w:bCs w:val="0"/>
          <w:color w:val="000000" w:themeColor="text1"/>
          <w14:ligatures w14:val="none"/>
        </w:rPr>
        <w:t xml:space="preserve">ациональная система пространственных данных» создана федеральная государственная географическая информационная система «Единая цифровая платформа «Национальная система пространственных данных» (ФГИС ЕЦП НСПД), которая включает в себя актуальные и легитимны</w:t>
      </w:r>
      <w:r>
        <w:rPr>
          <w:b w:val="0"/>
          <w:bCs w:val="0"/>
          <w:color w:val="000000" w:themeColor="text1"/>
          <w14:ligatures w14:val="none"/>
        </w:rPr>
        <w:t xml:space="preserve">е открытые пространственные данные из различных федеральных и региональных информационных систем.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Картографической основой ФГИС ЕЦП НСПД является Единая электронная картографическая основа (ЕЭКО).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Для Новосибирской области Единая электронная картографиче</w:t>
      </w:r>
      <w:r>
        <w:rPr>
          <w:b w:val="0"/>
          <w:bCs w:val="0"/>
          <w:color w:val="000000" w:themeColor="text1"/>
          <w14:ligatures w14:val="none"/>
        </w:rPr>
        <w:t xml:space="preserve">ская основа создана на 94,9% территории, за три года динамика наполнения ЕЭКО составила 33,2%.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Законом установлен перечень государственных геоинформационных систем, картографической основой которых является ЕЭКО. 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  <w:t xml:space="preserve">7. </w:t>
      </w:r>
      <w:r>
        <w:rPr>
          <w:b/>
          <w:bCs/>
          <w:color w:val="000000" w:themeColor="text1"/>
          <w14:ligatures w14:val="none"/>
        </w:rPr>
        <w:t xml:space="preserve">В декабре количество договоров участия в долевом строительстве достигло максимума.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декабре в Новосибирской области отмечен максимальный показатель 2025 года по количеству зарегистрированных договоров участия в долевом строительстве. 4 158 сделок - это на 56% больше в сравнении с ноябрем текущего года. Последний раз аналогичный объем сд</w:t>
      </w:r>
      <w:r>
        <w:rPr>
          <w:b w:val="0"/>
          <w:bCs w:val="0"/>
          <w:color w:val="000000" w:themeColor="text1"/>
          <w14:ligatures w14:val="none"/>
        </w:rPr>
        <w:t xml:space="preserve">елок наблюдался в декабре 2023 года, что свидетельствует о восстановлении активности на первичном рынке недвижимости.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Всего в 2025 году Управлением Росреестра по Новосибирской области зарегистрировано 27 035 сделок на первичном рынке.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Большая часть догов</w:t>
      </w:r>
      <w:r>
        <w:rPr>
          <w:b w:val="0"/>
          <w:bCs w:val="0"/>
          <w:color w:val="000000" w:themeColor="text1"/>
          <w14:ligatures w14:val="none"/>
        </w:rPr>
        <w:t xml:space="preserve">оров заключается в отношении жилья, в декабре их доля составила 77%.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«Несмотря на умеренные темпы, декабрь продемонстрировал возвращение интереса граждан к новостройкам. Большая часть сделок, как и ранее, оформляется в электронной форме, что позволяет ускорить процесс регистрации и повысить доступность государственных услуг</w:t>
      </w:r>
      <w:r>
        <w:rPr>
          <w:b w:val="0"/>
          <w:bCs w:val="0"/>
          <w:color w:val="000000" w:themeColor="text1"/>
          <w14:ligatures w14:val="none"/>
        </w:rPr>
        <w:t xml:space="preserve">»</w:t>
      </w:r>
      <w:r>
        <w:rPr>
          <w:b w:val="0"/>
          <w:bCs w:val="0"/>
          <w:color w:val="000000" w:themeColor="text1"/>
          <w14:ligatures w14:val="none"/>
        </w:rPr>
        <w:t xml:space="preserve">, – отметила заместитель руководителя новосибирского Росреестра</w:t>
      </w:r>
      <w:r>
        <w:rPr>
          <w:b w:val="0"/>
          <w:bCs w:val="0"/>
          <w:color w:val="000000" w:themeColor="text1"/>
          <w14:ligatures w14:val="none"/>
        </w:rPr>
        <w:t xml:space="preserve"> Наталья Ивчатова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  <w:t xml:space="preserve">8. </w:t>
      </w:r>
      <w:r>
        <w:rPr>
          <w:b/>
          <w:bCs/>
          <w:color w:val="000000" w:themeColor="text1"/>
          <w14:ligatures w14:val="none"/>
        </w:rPr>
        <w:t xml:space="preserve">В 19 муниципальных образованиях Новосибирской области проведут комплексные кадастровые работы.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2026 году запланировано проведение комплексных кадастровых работ федерального значения (ККР) в 19 муниципальных образованиях Новосибирской области на территории 746 кадастровых кварталов.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География проведения ККР достаточно широка: г. Бердск, г. Искитим</w:t>
      </w:r>
      <w:r>
        <w:rPr>
          <w:b w:val="0"/>
          <w:bCs w:val="0"/>
          <w:color w:val="000000" w:themeColor="text1"/>
          <w14:ligatures w14:val="none"/>
        </w:rPr>
        <w:t xml:space="preserve">, с. Баган, с. Венгерово, с. Довольное, г. Каргат, г. Купино, с. Кыштовка, р.п. Маслянино, р.п. Ордынское, р.п. Сузун, г. Тогучин, с. Усть-Тарка, р.п. Чаны, г. Черепаново, р.п. Чистоозерное, г. Чулым, а также Новосибирский и Мошковский районы.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Особенность</w:t>
      </w:r>
      <w:r>
        <w:rPr>
          <w:b w:val="0"/>
          <w:bCs w:val="0"/>
          <w:color w:val="000000" w:themeColor="text1"/>
          <w14:ligatures w14:val="none"/>
        </w:rPr>
        <w:t xml:space="preserve"> работ заключается в массовом характере их проведения: уточняются сведения в отношении всех объектов недвижимости, расположенных на территории кадастрового квартала. В границах кварталов, на территории которых запланировано проведение ККР в этом году, насч</w:t>
      </w:r>
      <w:r>
        <w:rPr>
          <w:b w:val="0"/>
          <w:bCs w:val="0"/>
          <w:color w:val="000000" w:themeColor="text1"/>
          <w14:ligatures w14:val="none"/>
        </w:rPr>
        <w:t xml:space="preserve">итывается 55 тыс. объектов недвижимости. Проводить работы будут специалисты филиала ППК «Роскадастр» по Новосибирской области.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«Комплексные кадастровые работы, которые проводятся региональным Роскадастром за счет средств федерального бюджета, имеют важное значение для наполнения Единого государственного реестра недвижимости актуальными сведениями. Для собственников такие работы им</w:t>
      </w:r>
      <w:r>
        <w:rPr>
          <w:b w:val="0"/>
          <w:bCs w:val="0"/>
          <w:color w:val="000000" w:themeColor="text1"/>
          <w14:ligatures w14:val="none"/>
        </w:rPr>
        <w:t xml:space="preserve">еют преимущества, так как уточнение сведений об объектах недвижимости позволяет избежать возможных земельных споров и юридических проблем в будущем»</w:t>
      </w:r>
      <w:r>
        <w:rPr>
          <w:b w:val="0"/>
          <w:bCs w:val="0"/>
          <w:color w:val="000000" w:themeColor="text1"/>
          <w14:ligatures w14:val="none"/>
        </w:rPr>
        <w:t xml:space="preserve">, – отметила заместитель директора – главный технолог филиала ППК «Роскадастр» по Новосибирской области </w:t>
      </w:r>
      <w:r>
        <w:rPr>
          <w:b w:val="0"/>
          <w:bCs w:val="0"/>
          <w:color w:val="000000" w:themeColor="text1"/>
          <w14:ligatures w14:val="none"/>
        </w:rPr>
        <w:t xml:space="preserve">Оксана Макаренко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Владельцы объектов недвижимости, попадающих в область проведения работ, получают извещения на портале Госуслуг, если в ЕГРН содержится актуальный адрес электронной почты. Для актуализации контактных данных можно подать заявление на портале </w:t>
      </w:r>
      <w:hyperlink r:id="rId42" w:tooltip="https://www.gosuslugi.ru/" w:history="1">
        <w:r>
          <w:rPr>
            <w:b w:val="0"/>
            <w:bCs w:val="0"/>
            <w:color w:val="000000" w:themeColor="text1"/>
            <w14:ligatures w14:val="none"/>
          </w:rPr>
          <w:t xml:space="preserve">Госуслуг</w:t>
        </w:r>
      </w:hyperlink>
      <w:r>
        <w:rPr>
          <w:b w:val="0"/>
          <w:bCs w:val="0"/>
          <w:color w:val="000000" w:themeColor="text1"/>
          <w14:ligatures w14:val="none"/>
        </w:rPr>
        <w:t xml:space="preserve"> или в центре </w:t>
      </w:r>
      <w:hyperlink r:id="rId43" w:tooltip="https://www.mfc-nso.ru/" w:history="1">
        <w:r>
          <w:rPr>
            <w:b w:val="0"/>
            <w:bCs w:val="0"/>
            <w:color w:val="000000" w:themeColor="text1"/>
            <w14:ligatures w14:val="none"/>
          </w:rPr>
          <w:t xml:space="preserve">«Мои документы»</w:t>
        </w:r>
      </w:hyperlink>
      <w:r>
        <w:rPr>
          <w:b w:val="0"/>
          <w:bCs w:val="0"/>
          <w:color w:val="000000" w:themeColor="text1"/>
          <w14:ligatures w14:val="none"/>
        </w:rPr>
        <w:t xml:space="preserve"> (МФЦ).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«За весь период проведения в Новосибирской области комплексных кадастровых работ в Единый государственный реестр недвижимости были внесены уточненные сведения о границах более 52 тысяч объектов недвижимости, расположенных в более чем 750 кадастровых кварта</w:t>
      </w:r>
      <w:r>
        <w:rPr>
          <w:b w:val="0"/>
          <w:bCs w:val="0"/>
          <w:color w:val="000000" w:themeColor="text1"/>
          <w14:ligatures w14:val="none"/>
        </w:rPr>
        <w:t xml:space="preserve">лах. В результате таких работ исправляются реестровые ошибки, уточняются границы земельных участков и образуются новые участки, осуществляется привязка объектов капитального строительства к земельным участкам»</w:t>
      </w:r>
      <w:r>
        <w:rPr>
          <w:b w:val="0"/>
          <w:bCs w:val="0"/>
          <w:color w:val="000000" w:themeColor="text1"/>
          <w14:ligatures w14:val="none"/>
        </w:rPr>
        <w:t xml:space="preserve">, - сообщила заместитель руководителя Управления Росреестра по Новосибирской области </w:t>
      </w:r>
      <w:r>
        <w:rPr>
          <w:b w:val="0"/>
          <w:bCs w:val="0"/>
          <w:color w:val="000000" w:themeColor="text1"/>
          <w14:ligatures w14:val="none"/>
        </w:rPr>
        <w:t xml:space="preserve">Наталья Ивчатова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 информацией о проведении ККР можно ознакомиться на официальных сайтах </w:t>
      </w:r>
      <w:hyperlink r:id="rId44" w:tooltip="https://rosreestr.gov.ru/" w:history="1">
        <w:r>
          <w:rPr>
            <w:b w:val="0"/>
            <w:bCs w:val="0"/>
            <w:color w:val="000000" w:themeColor="text1"/>
            <w14:ligatures w14:val="none"/>
          </w:rPr>
          <w:t xml:space="preserve">Росреестра</w:t>
        </w:r>
      </w:hyperlink>
      <w:r>
        <w:rPr>
          <w:b w:val="0"/>
          <w:bCs w:val="0"/>
          <w:color w:val="000000" w:themeColor="text1"/>
          <w14:ligatures w14:val="none"/>
        </w:rPr>
        <w:t xml:space="preserve">, </w:t>
      </w:r>
      <w:hyperlink r:id="rId45" w:tooltip="https://kadastr.ru/" w:history="1">
        <w:r>
          <w:rPr>
            <w:b w:val="0"/>
            <w:bCs w:val="0"/>
            <w:color w:val="000000" w:themeColor="text1"/>
            <w14:ligatures w14:val="none"/>
          </w:rPr>
          <w:t xml:space="preserve">ППК «Роскадастр»</w:t>
        </w:r>
      </w:hyperlink>
      <w:r>
        <w:rPr>
          <w:b w:val="0"/>
          <w:bCs w:val="0"/>
          <w:color w:val="000000" w:themeColor="text1"/>
          <w14:ligatures w14:val="none"/>
        </w:rPr>
        <w:t xml:space="preserve">, а также </w:t>
      </w:r>
      <w:hyperlink r:id="rId46" w:tooltip="https://dizo.nso.ru/" w:history="1">
        <w:r>
          <w:rPr>
            <w:b w:val="0"/>
            <w:bCs w:val="0"/>
            <w:color w:val="000000" w:themeColor="text1"/>
            <w14:ligatures w14:val="none"/>
          </w:rPr>
          <w:t xml:space="preserve">Департамента</w:t>
        </w:r>
      </w:hyperlink>
      <w:r>
        <w:rPr>
          <w:b w:val="0"/>
          <w:bCs w:val="0"/>
          <w:color w:val="000000" w:themeColor="text1"/>
          <w14:ligatures w14:val="none"/>
        </w:rPr>
        <w:t xml:space="preserve"> имущества и земельных отношений Новосибирской области.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14:ligatures w14:val="none"/>
        </w:rPr>
        <w:t xml:space="preserve">9. </w:t>
      </w:r>
      <w:r>
        <w:rPr>
          <w:b/>
          <w:bCs/>
          <w:color w:val="000000" w:themeColor="text1"/>
          <w14:ligatures w14:val="none"/>
        </w:rPr>
        <w:t xml:space="preserve">Как защитить недвижимость от мошеннических действий.</w:t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Недвижимость – один из самых дорогостоящих видов имущества.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Как владелец недвижимости, так и её покупатель могут стать жертвами мошенников и лишиться объекта недвижимого имущества либо крупной суммы денежных средств.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Есть несколько способов защи</w:t>
      </w:r>
      <w:r>
        <w:rPr>
          <w:b w:val="0"/>
          <w:bCs w:val="0"/>
          <w:color w:val="000000" w:themeColor="text1"/>
          <w14:ligatures w14:val="none"/>
        </w:rPr>
        <w:t xml:space="preserve">ты недвижимости от мошеннических действий.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Прежде всего, свое право на недвижимость следует зарегистрировать в Едином государственном реестре недвижимости (ЕГРН). Это поможет избежать подделки правоустанавливающих документов.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Если право</w:t>
      </w:r>
      <w:r>
        <w:rPr>
          <w:b w:val="0"/>
          <w:bCs w:val="0"/>
          <w:color w:val="000000" w:themeColor="text1"/>
          <w14:ligatures w14:val="none"/>
        </w:rPr>
        <w:t xml:space="preserve"> зарегистрировано в ЕГРН, собственник может контролировать объект в личном кабинете на Едином портале государственных услуг (Госуслуги). При совершении каких-либо действий с объектом ему придет соответствующее уведомление. Наличие данных об объекте недвижи</w:t>
      </w:r>
      <w:r>
        <w:rPr>
          <w:b w:val="0"/>
          <w:bCs w:val="0"/>
          <w:color w:val="000000" w:themeColor="text1"/>
          <w14:ligatures w14:val="none"/>
        </w:rPr>
        <w:t xml:space="preserve">мости в личном кабинете на Госуслугах свидетельствует о сохранности объекта в собственности.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Собственник может подать заявление о внесении в ЕГРН записи о невозможности государственной регистрации без его личного участия.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случае подачи документов</w:t>
      </w:r>
      <w:r>
        <w:rPr>
          <w:b w:val="0"/>
          <w:bCs w:val="0"/>
          <w:color w:val="000000" w:themeColor="text1"/>
          <w14:ligatures w14:val="none"/>
        </w:rPr>
        <w:t xml:space="preserve"> без личного участия собственника, по доверенности, они будут возвращены без рассмотрения.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При покупке объекта недвижимости рекомендуется попросить продавца предоставить подлинники правоустанавливающих документов и запросить выписку из ЕГРН об ос</w:t>
      </w:r>
      <w:r>
        <w:rPr>
          <w:b w:val="0"/>
          <w:bCs w:val="0"/>
          <w:color w:val="000000" w:themeColor="text1"/>
          <w14:ligatures w14:val="none"/>
        </w:rPr>
        <w:t xml:space="preserve">новных характеристиках и зарегистрированных правах.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Выписка покажет: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актуальные данные о кадастровом номере, площади, адресе и иных характеристиках объекта;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кто является собственником недвижимости и сведения о документах, по которым </w:t>
      </w:r>
      <w:r>
        <w:rPr>
          <w:b w:val="0"/>
          <w:bCs w:val="0"/>
          <w:color w:val="000000" w:themeColor="text1"/>
          <w14:ligatures w14:val="none"/>
        </w:rPr>
        <w:t xml:space="preserve">зарегистрировано право;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наличие арестов, запретов, ипотеки, аренды или иных ограничений, обременений.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Расхождение в характеристиках объекта, сведениях о дате и (или) номере регистрации права либо документах-основаниях такой регистрации, </w:t>
      </w:r>
      <w:r>
        <w:rPr>
          <w:b w:val="0"/>
          <w:bCs w:val="0"/>
          <w:color w:val="000000" w:themeColor="text1"/>
          <w14:ligatures w14:val="none"/>
        </w:rPr>
        <w:t xml:space="preserve">указанных в выписке из ЕГРН и представленных для оформления сделки документов требует выяснения причин таких расхождений.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Изучить историю объекта можно запросив выписку о переходе прав на него. Потенциального покупателя должно насторожить, если о</w:t>
      </w:r>
      <w:r>
        <w:rPr>
          <w:b w:val="0"/>
          <w:bCs w:val="0"/>
          <w:color w:val="000000" w:themeColor="text1"/>
          <w14:ligatures w14:val="none"/>
        </w:rPr>
        <w:t xml:space="preserve">бъект неоднократно продавали в течение года или иного непродолжительного периода времени.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Проверить достоверность выписки из ЕГРН можно на официальном сайте Росреестра по указанному на выписке QR-коду. Для мобильного телефона необходимо установить</w:t>
      </w:r>
      <w:r>
        <w:rPr>
          <w:b w:val="0"/>
          <w:bCs w:val="0"/>
          <w:color w:val="000000" w:themeColor="text1"/>
          <w14:ligatures w14:val="none"/>
        </w:rPr>
        <w:t xml:space="preserve"> сертификаты по ссылке </w:t>
      </w:r>
      <w:hyperlink r:id="rId47" w:tooltip="https://www.gosuslugi.ru/crt" w:history="1">
        <w:r>
          <w:rPr>
            <w:b w:val="0"/>
            <w:bCs w:val="0"/>
            <w:color w:val="000000" w:themeColor="text1"/>
            <w14:ligatures w14:val="none"/>
          </w:rPr>
          <w:t xml:space="preserve">https://www.gosuslugi.ru/crt</w:t>
        </w:r>
      </w:hyperlink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Чтобы защититься от кибермошенников никогда никому не нужно сообщать, в том числе по телефону, свои персональные данные и данные своего аккаунта на Госуслугах, а также содержание СМС-сообщений, поступающих с портала Госуслуг и от банков.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Также </w:t>
      </w:r>
      <w:r>
        <w:rPr>
          <w:b w:val="0"/>
          <w:bCs w:val="0"/>
          <w:color w:val="000000" w:themeColor="text1"/>
          <w14:ligatures w14:val="none"/>
        </w:rPr>
        <w:t xml:space="preserve">следует: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регулярно менять пароль к своему аккаунту на Госуслугах;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не переходить по ссылкам, отправленным в сообщениях от незнакомых лиц;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проверять домен отправителя;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удалять подозрительные сообщения и вложения;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  <w:t xml:space="preserve">не перезванивать по номерам, указанным в подозрительных сообщениях.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 w:val="0"/>
          <w:bCs w:val="0"/>
          <w:color w:val="000000" w:themeColor="text1"/>
          <w14:ligatures w14:val="none"/>
        </w:rPr>
      </w:pPr>
      <w:r>
        <w:rPr>
          <w:b w:val="0"/>
          <w:bCs w:val="0"/>
          <w:color w:val="000000" w:themeColor="text1"/>
          <w14:ligatures w14:val="none"/>
        </w:rPr>
        <w:t xml:space="preserve">В помощь гражданам Росреестр разработал методичку о способах защиты недвижимости от мошенников,  ознакомиться с которой можно </w:t>
      </w:r>
      <w:hyperlink r:id="rId48" w:tooltip="https://rosreestr.gov.ru/open-service/obzor-zakonov-o-nedvizhimosti/ca-250618-kak-zashchitit-nedvizhimost-ot-moshennikov/" w:history="1">
        <w:r>
          <w:rPr>
            <w:b w:val="0"/>
            <w:bCs w:val="0"/>
            <w:color w:val="000000" w:themeColor="text1"/>
            <w14:ligatures w14:val="none"/>
          </w:rPr>
          <w:t xml:space="preserve">по ссылке</w:t>
        </w:r>
      </w:hyperlink>
      <w:r>
        <w:rPr>
          <w:b w:val="0"/>
          <w:bCs w:val="0"/>
          <w:color w:val="000000" w:themeColor="text1"/>
          <w14:ligatures w14:val="none"/>
        </w:rPr>
        <w:t xml:space="preserve"> </w:t>
      </w:r>
      <w:r>
        <w:rPr>
          <w:b w:val="0"/>
          <w:bCs w:val="0"/>
          <w:color w:val="000000" w:themeColor="text1"/>
          <w14:ligatures w14:val="none"/>
        </w:rPr>
        <w:t xml:space="preserve">https://rosreestr.gov.ru/open-service/obzor-zakonov-o-nedvizhimosti/ca-250618-kak-zashchitit-nedvizhimost-ot-moshennikov/</w:t>
      </w:r>
      <w:r>
        <w:rPr>
          <w:b w:val="0"/>
          <w:bCs w:val="0"/>
          <w:color w:val="000000" w:themeColor="text1"/>
          <w14:ligatures w14:val="none"/>
        </w:rPr>
        <w:t xml:space="preserve">.</w:t>
      </w:r>
      <w:r>
        <w:rPr>
          <w:b w:val="0"/>
          <w:bCs w:val="0"/>
          <w:color w:val="000000" w:themeColor="text1"/>
          <w14:ligatures w14:val="none"/>
        </w:rPr>
      </w:r>
      <w:r>
        <w:rPr>
          <w:b w:val="0"/>
          <w:bCs w:val="0"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:highlight w:val="none"/>
          <w14:ligatures w14:val="none"/>
        </w:rPr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p>
      <w:p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  <w:spacing w:line="240" w:lineRule="auto"/>
        <w:rPr>
          <w:b/>
          <w:bCs/>
          <w:color w:val="000000" w:themeColor="text1"/>
          <w14:ligatures w14:val="none"/>
        </w:rPr>
      </w:pPr>
      <w:r>
        <w:rPr>
          <w:b/>
          <w:bCs/>
          <w:color w:val="000000" w:themeColor="text1"/>
          <w:highlight w:val="none"/>
          <w14:ligatures w14:val="none"/>
        </w:rPr>
      </w:r>
      <w:r>
        <w:rPr>
          <w:b/>
          <w:bCs/>
          <w:color w:val="000000" w:themeColor="text1"/>
          <w14:ligatures w14:val="none"/>
        </w:rPr>
      </w:r>
      <w:r>
        <w:rPr>
          <w:b/>
          <w:bCs/>
          <w:color w:val="000000" w:themeColor="text1"/>
          <w14:ligatures w14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</w:p>
  </w:endnote>
  <w:endnote w:type="continuationSeparator" w:id="0">
    <w:p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Courier New">
    <w:panose1 w:val="02070409020205020404"/>
  </w:font>
  <w:font w:name="Symbol">
    <w:panose1 w:val="05010000000000000000"/>
  </w:font>
  <w:font w:name="Calibri Light">
    <w:panose1 w:val="020F0502020204030204"/>
  </w:font>
  <w:font w:name="Tahoma">
    <w:panose1 w:val="020B0604030504040204"/>
  </w:font>
  <w:font w:name="Calibri">
    <w:panose1 w:val="020F0502020204030204"/>
  </w:font>
  <w:font w:name="Times New Roman">
    <w:panose1 w:val="02020603050405020304"/>
  </w:font>
  <w:font w:name="Arial">
    <w:panose1 w:val="020B060402020202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9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</w:p>
  </w:footnote>
  <w:footnote w:type="continuationSeparator" w:id="0">
    <w:p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71"/>
      <w:jc w:val="center"/>
      <w:rPr>
        <w:color w:val="auto"/>
        <w:highlight w:val="none"/>
      </w:rPr>
    </w:pPr>
    <w:fldSimple w:instr="PAGE \* MERGEFORMAT">
      <w:r>
        <w:rPr>
          <w:color w:val="auto"/>
        </w:rPr>
        <w:t xml:space="preserve">1</w:t>
      </w:r>
    </w:fldSimple>
    <w:r>
      <w:rPr>
        <w:color w:val="auto"/>
      </w:rPr>
    </w:r>
    <w:r>
      <w:rPr>
        <w:color w:val="auto"/>
        <w:highlight w:val="none"/>
      </w:rPr>
    </w:r>
    <w:r>
      <w:rPr>
        <w:color w:val="auto"/>
        <w:highlight w:val="none"/>
      </w:rPr>
    </w:r>
  </w:p>
  <w:p>
    <w:pPr>
      <w:pStyle w:val="971"/>
      <w:jc w:val="center"/>
    </w:pPr>
    <w:r>
      <w:rPr>
        <w:color w:val="auto"/>
        <w:highlight w:val="none"/>
      </w:rPr>
    </w:r>
    <w:r>
      <w:rPr>
        <w:color w:val="auto"/>
        <w:highlight w:val="none"/>
      </w:rPr>
    </w:r>
  </w:p>
  <w:p>
    <w:pPr>
      <w:pStyle w:val="971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71"/>
      <w:jc w:val="center"/>
      <w:rPr>
        <w:color w:val="ffffff" w:themeColor="background1"/>
      </w:rPr>
    </w:pPr>
    <w:fldSimple w:instr="PAGE \* MERGEFORMAT">
      <w:r>
        <w:rPr>
          <w:color w:val="ffffff" w:themeColor="background1"/>
        </w:rPr>
        <w:t xml:space="preserve">1</w:t>
      </w:r>
    </w:fldSimple>
    <w:r>
      <w:rPr>
        <w:color w:val="ffffff" w:themeColor="background1"/>
      </w:rPr>
    </w:r>
    <w:r>
      <w:rPr>
        <w:color w:val="ffffff" w:themeColor="background1"/>
      </w:rPr>
    </w:r>
    <w:r>
      <w:rPr>
        <w:color w:val="ffffff" w:themeColor="background1"/>
      </w:rPr>
    </w:r>
  </w:p>
  <w:p>
    <w:pPr>
      <w:pStyle w:val="97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2"/>
      <w:numFmt w:val="decimal"/>
      <w:isLgl w:val="false"/>
      <w:suff w:val="tab"/>
      <w:lvlText w:val="%1."/>
      <w:lvlJc w:val="left"/>
      <w:pPr>
        <w:ind w:left="1083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tabs>
          <w:tab w:val="num" w:pos="1440" w:leader="none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tabs>
          <w:tab w:val="num" w:pos="2160" w:leader="none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tabs>
          <w:tab w:val="num" w:pos="2880" w:leader="none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tabs>
          <w:tab w:val="num" w:pos="3600" w:leader="none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tabs>
          <w:tab w:val="num" w:pos="4320" w:leader="none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tabs>
          <w:tab w:val="num" w:pos="5040" w:leader="none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tabs>
          <w:tab w:val="num" w:pos="5760" w:leader="none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tabs>
          <w:tab w:val="num" w:pos="6480" w:leader="none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tabs>
          <w:tab w:val="num" w:pos="1440" w:leader="none"/>
        </w:tabs>
        <w:ind w:left="1440" w:hanging="360"/>
      </w:pPr>
      <w:rPr>
        <w:rFonts w:hint="default" w:ascii="Symbol" w:hAnsi="Symbol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tabs>
          <w:tab w:val="num" w:pos="2160" w:leader="none"/>
        </w:tabs>
        <w:ind w:left="2160" w:hanging="360"/>
      </w:pPr>
      <w:rPr>
        <w:rFonts w:hint="default" w:ascii="Symbol" w:hAnsi="Symbol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tabs>
          <w:tab w:val="num" w:pos="2880" w:leader="none"/>
        </w:tabs>
        <w:ind w:left="2880" w:hanging="360"/>
      </w:pPr>
      <w:rPr>
        <w:rFonts w:hint="default" w:ascii="Symbol" w:hAnsi="Symbol"/>
        <w:sz w:val="20"/>
      </w:rPr>
    </w:lvl>
    <w:lvl w:ilvl="4">
      <w:start w:val="1"/>
      <w:numFmt w:val="bullet"/>
      <w:isLgl w:val="false"/>
      <w:suff w:val="tab"/>
      <w:lvlText w:val=""/>
      <w:lvlJc w:val="left"/>
      <w:pPr>
        <w:tabs>
          <w:tab w:val="num" w:pos="3600" w:leader="none"/>
        </w:tabs>
        <w:ind w:left="3600" w:hanging="360"/>
      </w:pPr>
      <w:rPr>
        <w:rFonts w:hint="default" w:ascii="Symbol" w:hAnsi="Symbol"/>
        <w:sz w:val="20"/>
      </w:rPr>
    </w:lvl>
    <w:lvl w:ilvl="5">
      <w:start w:val="1"/>
      <w:numFmt w:val="bullet"/>
      <w:isLgl w:val="false"/>
      <w:suff w:val="tab"/>
      <w:lvlText w:val=""/>
      <w:lvlJc w:val="left"/>
      <w:pPr>
        <w:tabs>
          <w:tab w:val="num" w:pos="4320" w:leader="none"/>
        </w:tabs>
        <w:ind w:left="4320" w:hanging="360"/>
      </w:pPr>
      <w:rPr>
        <w:rFonts w:hint="default" w:ascii="Symbol" w:hAnsi="Symbol"/>
        <w:sz w:val="20"/>
      </w:rPr>
    </w:lvl>
    <w:lvl w:ilvl="6">
      <w:start w:val="1"/>
      <w:numFmt w:val="bullet"/>
      <w:isLgl w:val="false"/>
      <w:suff w:val="tab"/>
      <w:lvlText w:val=""/>
      <w:lvlJc w:val="left"/>
      <w:pPr>
        <w:tabs>
          <w:tab w:val="num" w:pos="5040" w:leader="none"/>
        </w:tabs>
        <w:ind w:left="5040" w:hanging="360"/>
      </w:pPr>
      <w:rPr>
        <w:rFonts w:hint="default" w:ascii="Symbol" w:hAnsi="Symbol"/>
        <w:sz w:val="20"/>
      </w:rPr>
    </w:lvl>
    <w:lvl w:ilvl="7">
      <w:start w:val="1"/>
      <w:numFmt w:val="bullet"/>
      <w:isLgl w:val="false"/>
      <w:suff w:val="tab"/>
      <w:lvlText w:val=""/>
      <w:lvlJc w:val="left"/>
      <w:pPr>
        <w:tabs>
          <w:tab w:val="num" w:pos="5760" w:leader="none"/>
        </w:tabs>
        <w:ind w:left="5760" w:hanging="360"/>
      </w:pPr>
      <w:rPr>
        <w:rFonts w:hint="default" w:ascii="Symbol" w:hAnsi="Symbol"/>
        <w:sz w:val="20"/>
      </w:rPr>
    </w:lvl>
    <w:lvl w:ilvl="8">
      <w:start w:val="1"/>
      <w:numFmt w:val="bullet"/>
      <w:isLgl w:val="false"/>
      <w:suff w:val="tab"/>
      <w:lvlText w:val=""/>
      <w:lvlJc w:val="left"/>
      <w:pPr>
        <w:tabs>
          <w:tab w:val="num" w:pos="6480" w:leader="none"/>
        </w:tabs>
        <w:ind w:left="6480" w:hanging="360"/>
      </w:pPr>
      <w:rPr>
        <w:rFonts w:hint="default" w:ascii="Symbol" w:hAnsi="Symbol"/>
        <w:sz w:val="20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4">
    <w:multiLevelType w:val="hybridMultilevel"/>
    <w:lvl w:ilvl="0">
      <w:start w:val="10"/>
      <w:numFmt w:val="decimal"/>
      <w:isLgl w:val="false"/>
      <w:suff w:val="tab"/>
      <w:lvlText w:val="%1."/>
      <w:lvlJc w:val="left"/>
      <w:pPr>
        <w:ind w:left="1083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74" w:hanging="46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"/>
      <w:lvlJc w:val="left"/>
      <w:pPr>
        <w:tabs>
          <w:tab w:val="num" w:pos="1440" w:leader="none"/>
        </w:tabs>
        <w:ind w:left="1440" w:hanging="360"/>
      </w:pPr>
      <w:rPr>
        <w:rFonts w:hint="default" w:ascii="Symbol" w:hAnsi="Symbol"/>
        <w:sz w:val="20"/>
      </w:rPr>
    </w:lvl>
    <w:lvl w:ilvl="2">
      <w:start w:val="1"/>
      <w:numFmt w:val="bullet"/>
      <w:isLgl w:val="false"/>
      <w:suff w:val="tab"/>
      <w:lvlText w:val=""/>
      <w:lvlJc w:val="left"/>
      <w:pPr>
        <w:tabs>
          <w:tab w:val="num" w:pos="2160" w:leader="none"/>
        </w:tabs>
        <w:ind w:left="2160" w:hanging="360"/>
      </w:pPr>
      <w:rPr>
        <w:rFonts w:hint="default" w:ascii="Symbol" w:hAnsi="Symbol"/>
        <w:sz w:val="20"/>
      </w:rPr>
    </w:lvl>
    <w:lvl w:ilvl="3">
      <w:start w:val="1"/>
      <w:numFmt w:val="bullet"/>
      <w:isLgl w:val="false"/>
      <w:suff w:val="tab"/>
      <w:lvlText w:val=""/>
      <w:lvlJc w:val="left"/>
      <w:pPr>
        <w:tabs>
          <w:tab w:val="num" w:pos="2880" w:leader="none"/>
        </w:tabs>
        <w:ind w:left="2880" w:hanging="360"/>
      </w:pPr>
      <w:rPr>
        <w:rFonts w:hint="default" w:ascii="Symbol" w:hAnsi="Symbol"/>
        <w:sz w:val="20"/>
      </w:rPr>
    </w:lvl>
    <w:lvl w:ilvl="4">
      <w:start w:val="1"/>
      <w:numFmt w:val="bullet"/>
      <w:isLgl w:val="false"/>
      <w:suff w:val="tab"/>
      <w:lvlText w:val=""/>
      <w:lvlJc w:val="left"/>
      <w:pPr>
        <w:tabs>
          <w:tab w:val="num" w:pos="3600" w:leader="none"/>
        </w:tabs>
        <w:ind w:left="3600" w:hanging="360"/>
      </w:pPr>
      <w:rPr>
        <w:rFonts w:hint="default" w:ascii="Symbol" w:hAnsi="Symbol"/>
        <w:sz w:val="20"/>
      </w:rPr>
    </w:lvl>
    <w:lvl w:ilvl="5">
      <w:start w:val="1"/>
      <w:numFmt w:val="bullet"/>
      <w:isLgl w:val="false"/>
      <w:suff w:val="tab"/>
      <w:lvlText w:val=""/>
      <w:lvlJc w:val="left"/>
      <w:pPr>
        <w:tabs>
          <w:tab w:val="num" w:pos="4320" w:leader="none"/>
        </w:tabs>
        <w:ind w:left="4320" w:hanging="360"/>
      </w:pPr>
      <w:rPr>
        <w:rFonts w:hint="default" w:ascii="Symbol" w:hAnsi="Symbol"/>
        <w:sz w:val="20"/>
      </w:rPr>
    </w:lvl>
    <w:lvl w:ilvl="6">
      <w:start w:val="1"/>
      <w:numFmt w:val="bullet"/>
      <w:isLgl w:val="false"/>
      <w:suff w:val="tab"/>
      <w:lvlText w:val=""/>
      <w:lvlJc w:val="left"/>
      <w:pPr>
        <w:tabs>
          <w:tab w:val="num" w:pos="5040" w:leader="none"/>
        </w:tabs>
        <w:ind w:left="5040" w:hanging="360"/>
      </w:pPr>
      <w:rPr>
        <w:rFonts w:hint="default" w:ascii="Symbol" w:hAnsi="Symbol"/>
        <w:sz w:val="20"/>
      </w:rPr>
    </w:lvl>
    <w:lvl w:ilvl="7">
      <w:start w:val="1"/>
      <w:numFmt w:val="bullet"/>
      <w:isLgl w:val="false"/>
      <w:suff w:val="tab"/>
      <w:lvlText w:val=""/>
      <w:lvlJc w:val="left"/>
      <w:pPr>
        <w:tabs>
          <w:tab w:val="num" w:pos="5760" w:leader="none"/>
        </w:tabs>
        <w:ind w:left="5760" w:hanging="360"/>
      </w:pPr>
      <w:rPr>
        <w:rFonts w:hint="default" w:ascii="Symbol" w:hAnsi="Symbol"/>
        <w:sz w:val="20"/>
      </w:rPr>
    </w:lvl>
    <w:lvl w:ilvl="8">
      <w:start w:val="1"/>
      <w:numFmt w:val="bullet"/>
      <w:isLgl w:val="false"/>
      <w:suff w:val="tab"/>
      <w:lvlText w:val=""/>
      <w:lvlJc w:val="left"/>
      <w:pPr>
        <w:tabs>
          <w:tab w:val="num" w:pos="6480" w:leader="none"/>
        </w:tabs>
        <w:ind w:left="6480" w:hanging="360"/>
      </w:pPr>
      <w:rPr>
        <w:rFonts w:hint="default" w:ascii="Symbol" w:hAnsi="Symbol"/>
        <w:sz w:val="20"/>
      </w:r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44" w:hanging="435"/>
      </w:pPr>
      <w:rPr>
        <w:rFonts w:hint="default"/>
        <w:color w:val="auto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tabs>
          <w:tab w:val="num" w:pos="1440" w:leader="none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tabs>
          <w:tab w:val="num" w:pos="2160" w:leader="none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tabs>
          <w:tab w:val="num" w:pos="2880" w:leader="none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tabs>
          <w:tab w:val="num" w:pos="3600" w:leader="none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tabs>
          <w:tab w:val="num" w:pos="4320" w:leader="none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tabs>
          <w:tab w:val="num" w:pos="5040" w:leader="none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tabs>
          <w:tab w:val="num" w:pos="5760" w:leader="none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tabs>
          <w:tab w:val="num" w:pos="6480" w:leader="none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tabs>
          <w:tab w:val="num" w:pos="1440" w:leader="none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tabs>
          <w:tab w:val="num" w:pos="2160" w:leader="none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tabs>
          <w:tab w:val="num" w:pos="2880" w:leader="none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tabs>
          <w:tab w:val="num" w:pos="3600" w:leader="none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tabs>
          <w:tab w:val="num" w:pos="4320" w:leader="none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tabs>
          <w:tab w:val="num" w:pos="5040" w:leader="none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tabs>
          <w:tab w:val="num" w:pos="5760" w:leader="none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tabs>
          <w:tab w:val="num" w:pos="6480" w:leader="none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2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tabs>
          <w:tab w:val="num" w:pos="1440" w:leader="none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tabs>
          <w:tab w:val="num" w:pos="2160" w:leader="none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tabs>
          <w:tab w:val="num" w:pos="2880" w:leader="none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tabs>
          <w:tab w:val="num" w:pos="3600" w:leader="none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tabs>
          <w:tab w:val="num" w:pos="4320" w:leader="none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tabs>
          <w:tab w:val="num" w:pos="5040" w:leader="none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tabs>
          <w:tab w:val="num" w:pos="5760" w:leader="none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tabs>
          <w:tab w:val="num" w:pos="6480" w:leader="none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5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1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7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1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tabs>
          <w:tab w:val="num" w:pos="1440" w:leader="none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tabs>
          <w:tab w:val="num" w:pos="2160" w:leader="none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tabs>
          <w:tab w:val="num" w:pos="2880" w:leader="none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tabs>
          <w:tab w:val="num" w:pos="3600" w:leader="none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tabs>
          <w:tab w:val="num" w:pos="4320" w:leader="none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tabs>
          <w:tab w:val="num" w:pos="5040" w:leader="none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tabs>
          <w:tab w:val="num" w:pos="5760" w:leader="none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tabs>
          <w:tab w:val="num" w:pos="6480" w:leader="none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>
    <w:multiLevelType w:val="hybridMultilevel"/>
    <w:lvl w:ilvl="0">
      <w:start w:val="19"/>
      <w:numFmt w:val="decimal"/>
      <w:isLgl w:val="false"/>
      <w:suff w:val="tab"/>
      <w:lvlText w:val="%1."/>
      <w:lvlJc w:val="left"/>
      <w:pPr>
        <w:ind w:left="1084" w:hanging="375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tabs>
          <w:tab w:val="num" w:pos="720" w:leader="none"/>
        </w:tabs>
        <w:ind w:left="720" w:hanging="360"/>
      </w:pPr>
    </w:lvl>
    <w:lvl w:ilvl="1">
      <w:start w:val="1"/>
      <w:numFmt w:val="decimal"/>
      <w:isLgl w:val="false"/>
      <w:suff w:val="tab"/>
      <w:lvlText w:val="%2."/>
      <w:lvlJc w:val="left"/>
      <w:pPr>
        <w:tabs>
          <w:tab w:val="num" w:pos="1440" w:leader="none"/>
        </w:tabs>
        <w:ind w:left="1440" w:hanging="360"/>
      </w:pPr>
    </w:lvl>
    <w:lvl w:ilvl="2">
      <w:start w:val="1"/>
      <w:numFmt w:val="decimal"/>
      <w:isLgl w:val="false"/>
      <w:suff w:val="tab"/>
      <w:lvlText w:val="%3."/>
      <w:lvlJc w:val="left"/>
      <w:pPr>
        <w:tabs>
          <w:tab w:val="num" w:pos="2160" w:leader="none"/>
        </w:tabs>
        <w:ind w:left="2160" w:hanging="360"/>
      </w:pPr>
    </w:lvl>
    <w:lvl w:ilvl="3">
      <w:start w:val="1"/>
      <w:numFmt w:val="decimal"/>
      <w:isLgl w:val="false"/>
      <w:suff w:val="tab"/>
      <w:lvlText w:val="%4."/>
      <w:lvlJc w:val="left"/>
      <w:pPr>
        <w:tabs>
          <w:tab w:val="num" w:pos="2880" w:leader="none"/>
        </w:tabs>
        <w:ind w:left="2880" w:hanging="360"/>
      </w:pPr>
    </w:lvl>
    <w:lvl w:ilvl="4">
      <w:start w:val="1"/>
      <w:numFmt w:val="decimal"/>
      <w:isLgl w:val="false"/>
      <w:suff w:val="tab"/>
      <w:lvlText w:val="%5."/>
      <w:lvlJc w:val="left"/>
      <w:pPr>
        <w:tabs>
          <w:tab w:val="num" w:pos="3600" w:leader="none"/>
        </w:tabs>
        <w:ind w:left="3600" w:hanging="360"/>
      </w:pPr>
    </w:lvl>
    <w:lvl w:ilvl="5">
      <w:start w:val="1"/>
      <w:numFmt w:val="decimal"/>
      <w:isLgl w:val="false"/>
      <w:suff w:val="tab"/>
      <w:lvlText w:val="%6."/>
      <w:lvlJc w:val="left"/>
      <w:pPr>
        <w:tabs>
          <w:tab w:val="num" w:pos="4320" w:leader="none"/>
        </w:tabs>
        <w:ind w:left="4320" w:hanging="360"/>
      </w:pPr>
    </w:lvl>
    <w:lvl w:ilvl="6">
      <w:start w:val="1"/>
      <w:numFmt w:val="decimal"/>
      <w:isLgl w:val="false"/>
      <w:suff w:val="tab"/>
      <w:lvlText w:val="%7."/>
      <w:lvlJc w:val="left"/>
      <w:pPr>
        <w:tabs>
          <w:tab w:val="num" w:pos="5040" w:leader="none"/>
        </w:tabs>
        <w:ind w:left="5040" w:hanging="360"/>
      </w:pPr>
    </w:lvl>
    <w:lvl w:ilvl="7">
      <w:start w:val="1"/>
      <w:numFmt w:val="decimal"/>
      <w:isLgl w:val="false"/>
      <w:suff w:val="tab"/>
      <w:lvlText w:val="%8."/>
      <w:lvlJc w:val="left"/>
      <w:pPr>
        <w:tabs>
          <w:tab w:val="num" w:pos="5760" w:leader="none"/>
        </w:tabs>
        <w:ind w:left="5760" w:hanging="360"/>
      </w:pPr>
    </w:lvl>
    <w:lvl w:ilvl="8">
      <w:start w:val="1"/>
      <w:numFmt w:val="decimal"/>
      <w:isLgl w:val="false"/>
      <w:suff w:val="tab"/>
      <w:lvlText w:val="%9."/>
      <w:lvlJc w:val="left"/>
      <w:pPr>
        <w:tabs>
          <w:tab w:val="num" w:pos="6480" w:leader="none"/>
        </w:tabs>
        <w:ind w:left="6480" w:hanging="360"/>
      </w:pPr>
    </w:lvl>
  </w:abstractNum>
  <w:abstractNum w:abstractNumId="23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2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tabs>
          <w:tab w:val="num" w:pos="1440" w:leader="none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tabs>
          <w:tab w:val="num" w:pos="2160" w:leader="none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tabs>
          <w:tab w:val="num" w:pos="2880" w:leader="none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tabs>
          <w:tab w:val="num" w:pos="3600" w:leader="none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tabs>
          <w:tab w:val="num" w:pos="4320" w:leader="none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tabs>
          <w:tab w:val="num" w:pos="5040" w:leader="none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tabs>
          <w:tab w:val="num" w:pos="5760" w:leader="none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tabs>
          <w:tab w:val="num" w:pos="6480" w:leader="none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tabs>
          <w:tab w:val="num" w:pos="720" w:leader="none"/>
        </w:tabs>
        <w:ind w:left="720" w:hanging="360"/>
      </w:pPr>
    </w:lvl>
    <w:lvl w:ilvl="1">
      <w:start w:val="1"/>
      <w:numFmt w:val="decimal"/>
      <w:isLgl w:val="false"/>
      <w:suff w:val="tab"/>
      <w:lvlText w:val="%2."/>
      <w:lvlJc w:val="left"/>
      <w:pPr>
        <w:tabs>
          <w:tab w:val="num" w:pos="1440" w:leader="none"/>
        </w:tabs>
        <w:ind w:left="1440" w:hanging="360"/>
      </w:pPr>
    </w:lvl>
    <w:lvl w:ilvl="2">
      <w:start w:val="1"/>
      <w:numFmt w:val="decimal"/>
      <w:isLgl w:val="false"/>
      <w:suff w:val="tab"/>
      <w:lvlText w:val="%3."/>
      <w:lvlJc w:val="left"/>
      <w:pPr>
        <w:tabs>
          <w:tab w:val="num" w:pos="2160" w:leader="none"/>
        </w:tabs>
        <w:ind w:left="2160" w:hanging="360"/>
      </w:pPr>
    </w:lvl>
    <w:lvl w:ilvl="3">
      <w:start w:val="1"/>
      <w:numFmt w:val="decimal"/>
      <w:isLgl w:val="false"/>
      <w:suff w:val="tab"/>
      <w:lvlText w:val="%4."/>
      <w:lvlJc w:val="left"/>
      <w:pPr>
        <w:tabs>
          <w:tab w:val="num" w:pos="2880" w:leader="none"/>
        </w:tabs>
        <w:ind w:left="2880" w:hanging="360"/>
      </w:pPr>
    </w:lvl>
    <w:lvl w:ilvl="4">
      <w:start w:val="1"/>
      <w:numFmt w:val="decimal"/>
      <w:isLgl w:val="false"/>
      <w:suff w:val="tab"/>
      <w:lvlText w:val="%5."/>
      <w:lvlJc w:val="left"/>
      <w:pPr>
        <w:tabs>
          <w:tab w:val="num" w:pos="3600" w:leader="none"/>
        </w:tabs>
        <w:ind w:left="3600" w:hanging="360"/>
      </w:pPr>
    </w:lvl>
    <w:lvl w:ilvl="5">
      <w:start w:val="1"/>
      <w:numFmt w:val="decimal"/>
      <w:isLgl w:val="false"/>
      <w:suff w:val="tab"/>
      <w:lvlText w:val="%6."/>
      <w:lvlJc w:val="left"/>
      <w:pPr>
        <w:tabs>
          <w:tab w:val="num" w:pos="4320" w:leader="none"/>
        </w:tabs>
        <w:ind w:left="4320" w:hanging="360"/>
      </w:pPr>
    </w:lvl>
    <w:lvl w:ilvl="6">
      <w:start w:val="1"/>
      <w:numFmt w:val="decimal"/>
      <w:isLgl w:val="false"/>
      <w:suff w:val="tab"/>
      <w:lvlText w:val="%7."/>
      <w:lvlJc w:val="left"/>
      <w:pPr>
        <w:tabs>
          <w:tab w:val="num" w:pos="5040" w:leader="none"/>
        </w:tabs>
        <w:ind w:left="5040" w:hanging="360"/>
      </w:pPr>
    </w:lvl>
    <w:lvl w:ilvl="7">
      <w:start w:val="1"/>
      <w:numFmt w:val="decimal"/>
      <w:isLgl w:val="false"/>
      <w:suff w:val="tab"/>
      <w:lvlText w:val="%8."/>
      <w:lvlJc w:val="left"/>
      <w:pPr>
        <w:tabs>
          <w:tab w:val="num" w:pos="5760" w:leader="none"/>
        </w:tabs>
        <w:ind w:left="5760" w:hanging="360"/>
      </w:pPr>
    </w:lvl>
    <w:lvl w:ilvl="8">
      <w:start w:val="1"/>
      <w:numFmt w:val="decimal"/>
      <w:isLgl w:val="false"/>
      <w:suff w:val="tab"/>
      <w:lvlText w:val="%9."/>
      <w:lvlJc w:val="left"/>
      <w:pPr>
        <w:tabs>
          <w:tab w:val="num" w:pos="6480" w:leader="none"/>
        </w:tabs>
        <w:ind w:left="6480" w:hanging="360"/>
      </w:pPr>
    </w:lvl>
  </w:abstractNum>
  <w:abstractNum w:abstractNumId="2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tabs>
          <w:tab w:val="num" w:pos="1440" w:leader="none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tabs>
          <w:tab w:val="num" w:pos="2160" w:leader="none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tabs>
          <w:tab w:val="num" w:pos="2880" w:leader="none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tabs>
          <w:tab w:val="num" w:pos="3600" w:leader="none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tabs>
          <w:tab w:val="num" w:pos="4320" w:leader="none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tabs>
          <w:tab w:val="num" w:pos="5040" w:leader="none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tabs>
          <w:tab w:val="num" w:pos="5760" w:leader="none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tabs>
          <w:tab w:val="num" w:pos="6480" w:leader="none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28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26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98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0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2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4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6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58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0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20" w:hanging="360"/>
      </w:pPr>
      <w:rPr>
        <w:rFonts w:hint="default" w:ascii="Wingdings" w:hAnsi="Wingdings"/>
      </w:rPr>
    </w:lvl>
  </w:abstractNum>
  <w:abstractNum w:abstractNumId="2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tabs>
          <w:tab w:val="num" w:pos="1440" w:leader="none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tabs>
          <w:tab w:val="num" w:pos="2160" w:leader="none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tabs>
          <w:tab w:val="num" w:pos="2880" w:leader="none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tabs>
          <w:tab w:val="num" w:pos="3600" w:leader="none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tabs>
          <w:tab w:val="num" w:pos="4320" w:leader="none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tabs>
          <w:tab w:val="num" w:pos="5040" w:leader="none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tabs>
          <w:tab w:val="num" w:pos="5760" w:leader="none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tabs>
          <w:tab w:val="num" w:pos="6480" w:leader="none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 w:eastAsia="Times New Roman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tabs>
          <w:tab w:val="num" w:pos="1440" w:leader="none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tabs>
          <w:tab w:val="num" w:pos="2160" w:leader="none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tabs>
          <w:tab w:val="num" w:pos="2880" w:leader="none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tabs>
          <w:tab w:val="num" w:pos="3600" w:leader="none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tabs>
          <w:tab w:val="num" w:pos="4320" w:leader="none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tabs>
          <w:tab w:val="num" w:pos="5040" w:leader="none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tabs>
          <w:tab w:val="num" w:pos="5760" w:leader="none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tabs>
          <w:tab w:val="num" w:pos="6480" w:leader="none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tabs>
          <w:tab w:val="num" w:pos="720" w:leader="none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tabs>
          <w:tab w:val="num" w:pos="1440" w:leader="none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tabs>
          <w:tab w:val="num" w:pos="2160" w:leader="none"/>
        </w:tabs>
        <w:ind w:left="2160" w:hanging="360"/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tabs>
          <w:tab w:val="num" w:pos="2880" w:leader="none"/>
        </w:tabs>
        <w:ind w:left="2880" w:hanging="360"/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tabs>
          <w:tab w:val="num" w:pos="3600" w:leader="none"/>
        </w:tabs>
        <w:ind w:left="3600" w:hanging="360"/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tabs>
          <w:tab w:val="num" w:pos="4320" w:leader="none"/>
        </w:tabs>
        <w:ind w:left="4320" w:hanging="360"/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tabs>
          <w:tab w:val="num" w:pos="5040" w:leader="none"/>
        </w:tabs>
        <w:ind w:left="5040" w:hanging="360"/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tabs>
          <w:tab w:val="num" w:pos="5760" w:leader="none"/>
        </w:tabs>
        <w:ind w:left="5760" w:hanging="360"/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tabs>
          <w:tab w:val="num" w:pos="6480" w:leader="none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3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77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44" w:hanging="435"/>
      </w:pPr>
      <w:rPr>
        <w:color w:val="00000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3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15" w:hanging="615"/>
      </w:pPr>
    </w:lvl>
    <w:lvl w:ilvl="1">
      <w:start w:val="1"/>
      <w:numFmt w:val="decimal"/>
      <w:isLgl w:val="false"/>
      <w:suff w:val="tab"/>
      <w:lvlText w:val="%2."/>
      <w:lvlJc w:val="left"/>
      <w:pPr>
        <w:ind w:left="1951" w:hanging="720"/>
      </w:pPr>
      <w:rPr>
        <w:rFonts w:ascii="Times New Roman" w:hAnsi="Times New Roman" w:eastAsia="Calibri" w:cs="Times New Roman"/>
      </w:rPr>
    </w:lvl>
    <w:lvl w:ilvl="2">
      <w:start w:val="1"/>
      <w:numFmt w:val="decimal"/>
      <w:isLgl w:val="false"/>
      <w:suff w:val="tab"/>
      <w:lvlText w:val="%1.%2.%3."/>
      <w:lvlJc w:val="left"/>
      <w:pPr>
        <w:ind w:left="3182" w:hanging="720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4773" w:hanging="1080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6004" w:hanging="1080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7595" w:hanging="1440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9186" w:hanging="180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0417" w:hanging="1800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2008" w:hanging="2160"/>
      </w:pPr>
    </w:lvl>
  </w:abstractNum>
  <w:abstractNum w:abstractNumId="39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637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4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1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2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num w:numId="1">
    <w:abstractNumId w:val="8"/>
  </w:num>
  <w:num w:numId="2">
    <w:abstractNumId w:val="26"/>
  </w:num>
  <w:num w:numId="3">
    <w:abstractNumId w:val="30"/>
  </w:num>
  <w:num w:numId="4">
    <w:abstractNumId w:val="16"/>
  </w:num>
  <w:num w:numId="5">
    <w:abstractNumId w:val="28"/>
  </w:num>
  <w:num w:numId="6">
    <w:abstractNumId w:val="21"/>
  </w:num>
  <w:num w:numId="7">
    <w:abstractNumId w:val="17"/>
  </w:num>
  <w:num w:numId="8">
    <w:abstractNumId w:val="14"/>
  </w:num>
  <w:num w:numId="9">
    <w:abstractNumId w:val="35"/>
  </w:num>
  <w:num w:numId="10">
    <w:abstractNumId w:val="19"/>
  </w:num>
  <w:num w:numId="11">
    <w:abstractNumId w:val="11"/>
  </w:num>
  <w:num w:numId="12">
    <w:abstractNumId w:val="33"/>
  </w:num>
  <w:num w:numId="13">
    <w:abstractNumId w:val="3"/>
  </w:num>
  <w:num w:numId="14">
    <w:abstractNumId w:val="1"/>
  </w:num>
  <w:num w:numId="15">
    <w:abstractNumId w:val="5"/>
  </w:num>
  <w:num w:numId="16">
    <w:abstractNumId w:val="12"/>
  </w:num>
  <w:num w:numId="17">
    <w:abstractNumId w:val="24"/>
  </w:num>
  <w:num w:numId="18">
    <w:abstractNumId w:val="25"/>
  </w:num>
  <w:num w:numId="19">
    <w:abstractNumId w:val="22"/>
  </w:num>
  <w:num w:numId="20">
    <w:abstractNumId w:val="20"/>
  </w:num>
  <w:num w:numId="21">
    <w:abstractNumId w:val="31"/>
  </w:num>
  <w:num w:numId="22">
    <w:abstractNumId w:val="32"/>
  </w:num>
  <w:num w:numId="23">
    <w:abstractNumId w:val="2"/>
  </w:num>
  <w:num w:numId="24">
    <w:abstractNumId w:val="10"/>
  </w:num>
  <w:num w:numId="25">
    <w:abstractNumId w:val="6"/>
  </w:num>
  <w:num w:numId="26">
    <w:abstractNumId w:val="13"/>
  </w:num>
  <w:num w:numId="27">
    <w:abstractNumId w:val="7"/>
  </w:num>
  <w:num w:numId="28">
    <w:abstractNumId w:val="23"/>
  </w:num>
  <w:num w:numId="29">
    <w:abstractNumId w:val="4"/>
  </w:num>
  <w:num w:numId="30">
    <w:abstractNumId w:val="34"/>
  </w:num>
  <w:num w:numId="31">
    <w:abstractNumId w:val="29"/>
  </w:num>
  <w:num w:numId="32">
    <w:abstractNumId w:val="27"/>
  </w:num>
  <w:num w:numId="33">
    <w:abstractNumId w:val="15"/>
  </w:num>
  <w:num w:numId="34">
    <w:abstractNumId w:val="9"/>
  </w:num>
  <w:num w:numId="35">
    <w:abstractNumId w:val="0"/>
  </w:num>
  <w:num w:numId="36">
    <w:abstractNumId w:val="18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  <w:num w:numId="41">
    <w:abstractNumId w:val="40"/>
  </w:num>
  <w:num w:numId="42">
    <w:abstractNumId w:val="41"/>
  </w:num>
  <w:num w:numId="43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793">
    <w:name w:val="Heading 1 Char"/>
    <w:basedOn w:val="964"/>
    <w:link w:val="961"/>
    <w:uiPriority w:val="9"/>
    <w:rPr>
      <w:rFonts w:ascii="Arial" w:hAnsi="Arial" w:eastAsia="Arial" w:cs="Arial"/>
      <w:sz w:val="40"/>
      <w:szCs w:val="40"/>
    </w:rPr>
  </w:style>
  <w:style w:type="character" w:styleId="794">
    <w:name w:val="Heading 2 Char"/>
    <w:basedOn w:val="964"/>
    <w:link w:val="962"/>
    <w:uiPriority w:val="9"/>
    <w:rPr>
      <w:rFonts w:ascii="Arial" w:hAnsi="Arial" w:eastAsia="Arial" w:cs="Arial"/>
      <w:sz w:val="34"/>
    </w:rPr>
  </w:style>
  <w:style w:type="character" w:styleId="795">
    <w:name w:val="Heading 3 Char"/>
    <w:basedOn w:val="964"/>
    <w:link w:val="963"/>
    <w:uiPriority w:val="9"/>
    <w:rPr>
      <w:rFonts w:ascii="Arial" w:hAnsi="Arial" w:eastAsia="Arial" w:cs="Arial"/>
      <w:sz w:val="30"/>
      <w:szCs w:val="30"/>
    </w:rPr>
  </w:style>
  <w:style w:type="paragraph" w:styleId="796">
    <w:name w:val="Heading 4"/>
    <w:basedOn w:val="960"/>
    <w:next w:val="960"/>
    <w:link w:val="797"/>
    <w:uiPriority w:val="9"/>
    <w:unhideWhenUsed/>
    <w:qFormat/>
    <w:pPr>
      <w:keepNext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797">
    <w:name w:val="Heading 4 Char"/>
    <w:basedOn w:val="964"/>
    <w:link w:val="796"/>
    <w:uiPriority w:val="9"/>
    <w:rPr>
      <w:rFonts w:ascii="Arial" w:hAnsi="Arial" w:eastAsia="Arial" w:cs="Arial"/>
      <w:b/>
      <w:bCs/>
      <w:sz w:val="26"/>
      <w:szCs w:val="26"/>
    </w:rPr>
  </w:style>
  <w:style w:type="paragraph" w:styleId="798">
    <w:name w:val="Heading 5"/>
    <w:basedOn w:val="960"/>
    <w:next w:val="960"/>
    <w:link w:val="799"/>
    <w:uiPriority w:val="9"/>
    <w:unhideWhenUsed/>
    <w:qFormat/>
    <w:pPr>
      <w:keepNext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799">
    <w:name w:val="Heading 5 Char"/>
    <w:basedOn w:val="964"/>
    <w:link w:val="798"/>
    <w:uiPriority w:val="9"/>
    <w:rPr>
      <w:rFonts w:ascii="Arial" w:hAnsi="Arial" w:eastAsia="Arial" w:cs="Arial"/>
      <w:b/>
      <w:bCs/>
      <w:sz w:val="24"/>
      <w:szCs w:val="24"/>
    </w:rPr>
  </w:style>
  <w:style w:type="paragraph" w:styleId="800">
    <w:name w:val="Heading 6"/>
    <w:basedOn w:val="960"/>
    <w:next w:val="960"/>
    <w:link w:val="801"/>
    <w:uiPriority w:val="9"/>
    <w:unhideWhenUsed/>
    <w:qFormat/>
    <w:pPr>
      <w:keepNext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801">
    <w:name w:val="Heading 6 Char"/>
    <w:basedOn w:val="964"/>
    <w:link w:val="800"/>
    <w:uiPriority w:val="9"/>
    <w:rPr>
      <w:rFonts w:ascii="Arial" w:hAnsi="Arial" w:eastAsia="Arial" w:cs="Arial"/>
      <w:b/>
      <w:bCs/>
      <w:sz w:val="22"/>
      <w:szCs w:val="22"/>
    </w:rPr>
  </w:style>
  <w:style w:type="paragraph" w:styleId="802">
    <w:name w:val="Heading 7"/>
    <w:basedOn w:val="960"/>
    <w:next w:val="960"/>
    <w:link w:val="803"/>
    <w:uiPriority w:val="9"/>
    <w:unhideWhenUsed/>
    <w:qFormat/>
    <w:pPr>
      <w:keepNext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803">
    <w:name w:val="Heading 7 Char"/>
    <w:basedOn w:val="964"/>
    <w:link w:val="802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804">
    <w:name w:val="Heading 8"/>
    <w:basedOn w:val="960"/>
    <w:next w:val="960"/>
    <w:link w:val="805"/>
    <w:uiPriority w:val="9"/>
    <w:unhideWhenUsed/>
    <w:qFormat/>
    <w:pPr>
      <w:keepNext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805">
    <w:name w:val="Heading 8 Char"/>
    <w:basedOn w:val="964"/>
    <w:link w:val="804"/>
    <w:uiPriority w:val="9"/>
    <w:rPr>
      <w:rFonts w:ascii="Arial" w:hAnsi="Arial" w:eastAsia="Arial" w:cs="Arial"/>
      <w:i/>
      <w:iCs/>
      <w:sz w:val="22"/>
      <w:szCs w:val="22"/>
    </w:rPr>
  </w:style>
  <w:style w:type="paragraph" w:styleId="806">
    <w:name w:val="Heading 9"/>
    <w:basedOn w:val="960"/>
    <w:next w:val="960"/>
    <w:link w:val="807"/>
    <w:uiPriority w:val="9"/>
    <w:unhideWhenUsed/>
    <w:qFormat/>
    <w:pPr>
      <w:keepNext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807">
    <w:name w:val="Heading 9 Char"/>
    <w:basedOn w:val="964"/>
    <w:link w:val="806"/>
    <w:uiPriority w:val="9"/>
    <w:rPr>
      <w:rFonts w:ascii="Arial" w:hAnsi="Arial" w:eastAsia="Arial" w:cs="Arial"/>
      <w:i/>
      <w:iCs/>
      <w:sz w:val="21"/>
      <w:szCs w:val="21"/>
    </w:rPr>
  </w:style>
  <w:style w:type="paragraph" w:styleId="808">
    <w:name w:val="Title"/>
    <w:basedOn w:val="960"/>
    <w:next w:val="960"/>
    <w:link w:val="809"/>
    <w:uiPriority w:val="10"/>
    <w:qFormat/>
    <w:pPr>
      <w:spacing w:before="300" w:after="200"/>
      <w:contextualSpacing/>
    </w:pPr>
    <w:rPr>
      <w:sz w:val="48"/>
      <w:szCs w:val="48"/>
    </w:rPr>
  </w:style>
  <w:style w:type="character" w:styleId="809">
    <w:name w:val="Title Char"/>
    <w:basedOn w:val="964"/>
    <w:link w:val="808"/>
    <w:uiPriority w:val="10"/>
    <w:rPr>
      <w:sz w:val="48"/>
      <w:szCs w:val="48"/>
    </w:rPr>
  </w:style>
  <w:style w:type="paragraph" w:styleId="810">
    <w:name w:val="Subtitle"/>
    <w:basedOn w:val="960"/>
    <w:next w:val="960"/>
    <w:link w:val="811"/>
    <w:uiPriority w:val="11"/>
    <w:qFormat/>
    <w:pPr>
      <w:spacing w:before="200" w:after="200"/>
    </w:pPr>
    <w:rPr>
      <w:sz w:val="24"/>
      <w:szCs w:val="24"/>
    </w:rPr>
  </w:style>
  <w:style w:type="character" w:styleId="811">
    <w:name w:val="Subtitle Char"/>
    <w:basedOn w:val="964"/>
    <w:link w:val="810"/>
    <w:uiPriority w:val="11"/>
    <w:rPr>
      <w:sz w:val="24"/>
      <w:szCs w:val="24"/>
    </w:rPr>
  </w:style>
  <w:style w:type="paragraph" w:styleId="812">
    <w:name w:val="Quote"/>
    <w:basedOn w:val="960"/>
    <w:next w:val="960"/>
    <w:link w:val="813"/>
    <w:uiPriority w:val="29"/>
    <w:qFormat/>
    <w:pPr>
      <w:ind w:left="720" w:right="720"/>
    </w:pPr>
    <w:rPr>
      <w:i/>
    </w:rPr>
  </w:style>
  <w:style w:type="character" w:styleId="813">
    <w:name w:val="Quote Char"/>
    <w:link w:val="812"/>
    <w:uiPriority w:val="29"/>
    <w:rPr>
      <w:i/>
    </w:rPr>
  </w:style>
  <w:style w:type="paragraph" w:styleId="814">
    <w:name w:val="Intense Quote"/>
    <w:basedOn w:val="960"/>
    <w:next w:val="960"/>
    <w:link w:val="815"/>
    <w:uiPriority w:val="30"/>
    <w:qFormat/>
    <w:pPr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  <w:shd w:val="clear" w:color="auto" w:fill="f2f2f2"/>
      <w:ind w:left="720" w:right="720"/>
      <w:contextualSpacing w:val="0"/>
    </w:pPr>
    <w:rPr>
      <w:i/>
    </w:rPr>
  </w:style>
  <w:style w:type="character" w:styleId="815">
    <w:name w:val="Intense Quote Char"/>
    <w:link w:val="814"/>
    <w:uiPriority w:val="30"/>
    <w:rPr>
      <w:i/>
    </w:rPr>
  </w:style>
  <w:style w:type="character" w:styleId="816">
    <w:name w:val="Header Char"/>
    <w:basedOn w:val="964"/>
    <w:link w:val="971"/>
    <w:uiPriority w:val="99"/>
  </w:style>
  <w:style w:type="character" w:styleId="817">
    <w:name w:val="Footer Char"/>
    <w:basedOn w:val="964"/>
    <w:link w:val="997"/>
    <w:uiPriority w:val="99"/>
  </w:style>
  <w:style w:type="paragraph" w:styleId="818">
    <w:name w:val="Caption"/>
    <w:basedOn w:val="960"/>
    <w:next w:val="960"/>
    <w:link w:val="819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819">
    <w:name w:val="Caption Char"/>
    <w:basedOn w:val="818"/>
    <w:link w:val="997"/>
    <w:uiPriority w:val="99"/>
  </w:style>
  <w:style w:type="table" w:styleId="820">
    <w:name w:val="Table Grid Light"/>
    <w:basedOn w:val="96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21">
    <w:name w:val="Plain Table 1"/>
    <w:basedOn w:val="96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22">
    <w:name w:val="Plain Table 2"/>
    <w:basedOn w:val="965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23">
    <w:name w:val="Plain Table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824">
    <w:name w:val="Plain Table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5">
    <w:name w:val="Plain Table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tcBorders>
          <w:right w:val="single" w:color="404040" w:sz="4" w:space="0"/>
        </w:tcBorders>
        <w:shd w:val="clear" w:color="ffffff"/>
      </w:tcPr>
    </w:tblStylePr>
    <w:tblStylePr w:type="firstRow">
      <w:rPr>
        <w:i/>
        <w:color w:val="404040"/>
      </w:rPr>
      <w:tcPr>
        <w:tcBorders>
          <w:left w:val="none" w:color="000000" w:sz="4" w:space="0"/>
          <w:bottom w:val="single" w:color="40404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left w:val="single" w:color="404040" w:sz="4" w:space="0"/>
        </w:tcBorders>
        <w:shd w:val="clear" w:color="ffffff"/>
      </w:tcPr>
    </w:tblStylePr>
    <w:tblStylePr w:type="lastRow">
      <w:rPr>
        <w:i/>
        <w:color w:val="404040"/>
      </w:rPr>
      <w:tcPr>
        <w:tcBorders>
          <w:top w:val="single" w:color="404040" w:sz="4" w:space="0"/>
          <w:left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26">
    <w:name w:val="Grid Table 1 Light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7">
    <w:name w:val="Grid Table 1 Light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8">
    <w:name w:val="Grid Table 1 Light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9">
    <w:name w:val="Grid Table 1 Light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0">
    <w:name w:val="Grid Table 1 Light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1">
    <w:name w:val="Grid Table 1 Light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2">
    <w:name w:val="Grid Table 1 Light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3">
    <w:name w:val="Grid Table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34">
    <w:name w:val="Grid Table 2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35">
    <w:name w:val="Grid Table 2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36">
    <w:name w:val="Grid Table 2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37">
    <w:name w:val="Grid Table 2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38">
    <w:name w:val="Grid Table 2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39">
    <w:name w:val="Grid Table 2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40">
    <w:name w:val="Grid Table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41">
    <w:name w:val="Grid Table 3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42">
    <w:name w:val="Grid Table 3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43">
    <w:name w:val="Grid Table 3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44">
    <w:name w:val="Grid Table 3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45">
    <w:name w:val="Grid Table 3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46">
    <w:name w:val="Grid Table 3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847">
    <w:name w:val="Grid Table 4"/>
    <w:basedOn w:val="96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848">
    <w:name w:val="Grid Table 4 - Accent 1"/>
    <w:basedOn w:val="96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  <w:shd w:val="clear" w:color="ffffff" w:themeColor="accent1" w:themeTint="EA" w:fill="5d8dc2" w:themeFill="accent1" w:themeFillTint="E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849">
    <w:name w:val="Grid Table 4 - Accent 2"/>
    <w:basedOn w:val="96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850">
    <w:name w:val="Grid Table 4 - Accent 3"/>
    <w:basedOn w:val="96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  <w:shd w:val="clear" w:color="ffffff" w:themeColor="accent3" w:themeTint="FE" w:fill="9bba59" w:themeFill="accent3" w:themeFillTint="FE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51">
    <w:name w:val="Grid Table 4 - Accent 4"/>
    <w:basedOn w:val="96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52">
    <w:name w:val="Grid Table 4 - Accent 5"/>
    <w:basedOn w:val="96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53">
    <w:name w:val="Grid Table 4 - Accent 6"/>
    <w:basedOn w:val="96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54">
    <w:name w:val="Grid Table 5 Dark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text1" w:fill="000000" w:themeFill="text1"/>
      </w:tcPr>
    </w:tblStylePr>
  </w:style>
  <w:style w:type="table" w:styleId="855">
    <w:name w:val="Grid Table 5 Dark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1" w:fill="4f81bd" w:themeFill="accent1"/>
      </w:tcPr>
    </w:tblStylePr>
  </w:style>
  <w:style w:type="table" w:styleId="856">
    <w:name w:val="Grid Table 5 Dark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2" w:fill="c0504d" w:themeFill="accent2"/>
      </w:tcPr>
    </w:tblStylePr>
  </w:style>
  <w:style w:type="table" w:styleId="857">
    <w:name w:val="Grid Table 5 Dark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3" w:fill="9bbb59" w:themeFill="accent3"/>
      </w:tcPr>
    </w:tblStylePr>
  </w:style>
  <w:style w:type="table" w:styleId="858">
    <w:name w:val="Grid Table 5 Dark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4" w:fill="8064a2" w:themeFill="accent4"/>
      </w:tcPr>
    </w:tblStylePr>
  </w:style>
  <w:style w:type="table" w:styleId="859">
    <w:name w:val="Grid Table 5 Dark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5" w:fill="4bacc6" w:themeFill="accent5"/>
      </w:tcPr>
    </w:tblStylePr>
  </w:style>
  <w:style w:type="table" w:styleId="860">
    <w:name w:val="Grid Table 5 Dark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000000" w:themeColor="light1" w:sz="4" w:space="0"/>
        </w:tcBorders>
        <w:shd w:val="clear" w:color="ffffff" w:themeColor="accent6" w:fill="f79646" w:themeFill="accent6"/>
      </w:tcPr>
    </w:tblStylePr>
  </w:style>
  <w:style w:type="table" w:styleId="861">
    <w:name w:val="Grid Table 6 Colorful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862">
    <w:name w:val="Grid Table 6 Colorful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863">
    <w:name w:val="Grid Table 6 Colorful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864">
    <w:name w:val="Grid Table 6 Colorful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865">
    <w:name w:val="Grid Table 6 Colorful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866">
    <w:name w:val="Grid Table 6 Colorful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67">
    <w:name w:val="Grid Table 6 Colorful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68">
    <w:name w:val="Grid Table 7 Colorful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  <w:shd w:val="clear" w:color="ffffff"/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69">
    <w:name w:val="Grid Table 7 Colorful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  <w:shd w:val="clear" w:color="ffffff"/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70">
    <w:name w:val="Grid Table 7 Colorful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  <w:shd w:val="clear" w:color="ffffff"/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71">
    <w:name w:val="Grid Table 7 Colorful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  <w:shd w:val="clear" w:color="ffffff"/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72">
    <w:name w:val="Grid Table 7 Colorful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  <w:shd w:val="clear" w:color="ffffff"/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73">
    <w:name w:val="Grid Table 7 Colorful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  <w:shd w:val="clear" w:color="ffffff"/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74">
    <w:name w:val="Grid Table 7 Colorful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  <w:shd w:val="clear" w:color="ffffff"/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</w:style>
  <w:style w:type="table" w:styleId="875">
    <w:name w:val="List Table 1 Light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6">
    <w:name w:val="List Table 1 Light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7">
    <w:name w:val="List Table 1 Light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8">
    <w:name w:val="List Table 1 Light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79">
    <w:name w:val="List Table 1 Light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0">
    <w:name w:val="List Table 1 Light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1">
    <w:name w:val="List Table 1 Light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2">
    <w:name w:val="List Table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883">
    <w:name w:val="List Table 2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884">
    <w:name w:val="List Table 2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885">
    <w:name w:val="List Table 2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886">
    <w:name w:val="List Table 2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887">
    <w:name w:val="List Table 2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888">
    <w:name w:val="List Table 2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889">
    <w:name w:val="List Table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0">
    <w:name w:val="List Table 3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1">
    <w:name w:val="List Table 3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2">
    <w:name w:val="List Table 3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3">
    <w:name w:val="List Table 3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4">
    <w:name w:val="List Table 3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5">
    <w:name w:val="List Table 3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6">
    <w:name w:val="List Table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7">
    <w:name w:val="List Table 4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8">
    <w:name w:val="List Table 4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99">
    <w:name w:val="List Table 4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0">
    <w:name w:val="List Table 4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1">
    <w:name w:val="List Table 4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2">
    <w:name w:val="List Table 4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3">
    <w:name w:val="List Table 5 Dark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text1" w:themeTint="80" w:fill="7f7f7f" w:themeFill="text1" w:themeFillTint="80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text1" w:themeTint="80" w:fill="7f7f7f" w:themeFill="text1" w:themeFillTint="80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text1" w:themeTint="80" w:fill="7f7f7f" w:themeFill="text1" w:themeFillTint="80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text1" w:themeTint="80" w:sz="32" w:space="0"/>
          <w:bottom w:val="single" w:color="000000" w:themeColor="light1" w:sz="12" w:space="0"/>
        </w:tcBorders>
        <w:shd w:val="clear" w:color="ffffff" w:themeColor="text1" w:themeTint="80" w:fill="7f7f7f" w:themeFill="text1" w:themeFillTint="80"/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04">
    <w:name w:val="List Table 5 Dark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1" w:fill="4f81bd" w:themeFill="accent1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1" w:fill="4f81bd" w:themeFill="accent1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1" w:fill="4f81bd" w:themeFill="accent1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1" w:sz="32" w:space="0"/>
          <w:bottom w:val="single" w:color="000000" w:themeColor="light1" w:sz="12" w:space="0"/>
        </w:tcBorders>
        <w:shd w:val="clear" w:color="ffffff" w:themeColor="accent1" w:fill="4f81bd" w:themeFill="accent1"/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05">
    <w:name w:val="List Table 5 Dark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2" w:themeTint="97" w:fill="d99694" w:themeFill="accent2" w:themeFillTint="97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2" w:themeTint="97" w:fill="d99694" w:themeFill="accent2" w:themeFillTint="97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2" w:themeTint="97" w:fill="d99694" w:themeFill="accent2" w:themeFillTint="97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2" w:themeTint="97" w:sz="32" w:space="0"/>
          <w:bottom w:val="single" w:color="000000" w:themeColor="light1" w:sz="12" w:space="0"/>
        </w:tcBorders>
        <w:shd w:val="clear" w:color="ffffff" w:themeColor="accent2" w:themeTint="97" w:fill="d99694" w:themeFill="accent2" w:themeFillTint="97"/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06">
    <w:name w:val="List Table 5 Dark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3" w:themeTint="98" w:fill="c3d69b" w:themeFill="accent3" w:themeFillTint="98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3" w:themeTint="98" w:fill="c3d69b" w:themeFill="accent3" w:themeFillTint="98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3" w:themeTint="98" w:fill="c3d69b" w:themeFill="accent3" w:themeFillTint="98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3" w:themeTint="98" w:sz="32" w:space="0"/>
          <w:bottom w:val="single" w:color="000000" w:themeColor="light1" w:sz="12" w:space="0"/>
        </w:tcBorders>
        <w:shd w:val="clear" w:color="ffffff" w:themeColor="accent3" w:themeTint="98" w:fill="c3d69b" w:themeFill="accent3" w:themeFillTint="98"/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07">
    <w:name w:val="List Table 5 Dark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4" w:themeTint="9A" w:fill="b2a1c6" w:themeFill="accent4" w:themeFillTint="9A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4" w:themeTint="9A" w:fill="b2a1c6" w:themeFill="accent4" w:themeFillTint="9A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4" w:themeTint="9A" w:fill="b2a1c6" w:themeFill="accent4" w:themeFillTint="9A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4" w:themeTint="9A" w:sz="32" w:space="0"/>
          <w:bottom w:val="single" w:color="000000" w:themeColor="light1" w:sz="12" w:space="0"/>
        </w:tcBorders>
        <w:shd w:val="clear" w:color="ffffff" w:themeColor="accent4" w:themeTint="9A" w:fill="b2a1c6" w:themeFill="accent4" w:themeFillTint="9A"/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08">
    <w:name w:val="List Table 5 Dark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5" w:themeTint="9A" w:fill="91cddc" w:themeFill="accent5" w:themeFillTint="9A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5" w:themeTint="9A" w:fill="91cddc" w:themeFill="accent5" w:themeFillTint="9A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5" w:themeTint="9A" w:fill="91cddc" w:themeFill="accent5" w:themeFillTint="9A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5" w:themeTint="9A" w:sz="32" w:space="0"/>
          <w:bottom w:val="single" w:color="000000" w:themeColor="light1" w:sz="12" w:space="0"/>
        </w:tcBorders>
        <w:shd w:val="clear" w:color="ffffff" w:themeColor="accent5" w:themeTint="9A" w:fill="91cddc" w:themeFill="accent5" w:themeFillTint="9A"/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09">
    <w:name w:val="List Table 5 Dark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6" w:themeTint="98" w:fill="f9bf90" w:themeFill="accent6" w:themeFillTint="98"/>
      </w:tcPr>
    </w:tblStylePr>
    <w:tblStylePr w:type="band1Vert"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themeColor="accent6" w:themeTint="98" w:fill="f9bf90" w:themeFill="accent6" w:themeFillTint="98"/>
      </w:tcPr>
    </w:tblStylePr>
    <w:tblStylePr w:type="band2Horz"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themeColor="accent6" w:themeTint="98" w:fill="f9bf90" w:themeFill="accent6" w:themeFillTint="98"/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tcBorders>
          <w:top w:val="single" w:color="000000" w:themeColor="accent6" w:themeTint="98" w:sz="32" w:space="0"/>
          <w:bottom w:val="single" w:color="000000" w:themeColor="light1" w:sz="12" w:space="0"/>
        </w:tcBorders>
        <w:shd w:val="clear" w:color="ffffff" w:themeColor="accent6" w:themeTint="98" w:fill="f9bf90" w:themeFill="accent6" w:themeFillTint="98"/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10">
    <w:name w:val="List Table 6 Colorful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911">
    <w:name w:val="List Table 6 Colorful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912">
    <w:name w:val="List Table 6 Colorful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913">
    <w:name w:val="List Table 6 Colorful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914">
    <w:name w:val="List Table 6 Colorful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915">
    <w:name w:val="List Table 6 Colorful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916">
    <w:name w:val="List Table 6 Colorful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917">
    <w:name w:val="List Table 7 Colorful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  <w:shd w:val="clear" w:color="ffffff"/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918">
    <w:name w:val="List Table 7 Colorful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  <w:shd w:val="clear" w:color="ffffff"/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919">
    <w:name w:val="List Table 7 Colorful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  <w:shd w:val="clear" w:color="ffffff"/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920">
    <w:name w:val="List Table 7 Colorful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  <w:shd w:val="clear" w:color="ffffff"/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921">
    <w:name w:val="List Table 7 Colorful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  <w:shd w:val="clear" w:color="ffffff"/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922">
    <w:name w:val="List Table 7 Colorful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  <w:shd w:val="clear" w:color="ffffff"/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923">
    <w:name w:val="List Table 7 Colorful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  <w:shd w:val="clear" w:color="ffffff"/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themeColor="light1" w:fill="ffffff" w:themeFill="light1"/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924">
    <w:name w:val="Lined - Accent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925">
    <w:name w:val="Lined - Accent 1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926">
    <w:name w:val="Lined - Accent 2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927">
    <w:name w:val="Lined - Accent 3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928">
    <w:name w:val="Lined - Accent 4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929">
    <w:name w:val="Lined - Accent 5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930">
    <w:name w:val="Lined - Accent 6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931">
    <w:name w:val="Bordered &amp; Lined - Accent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932">
    <w:name w:val="Bordered &amp; Lined - Accent 1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933">
    <w:name w:val="Bordered &amp; Lined - Accent 2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934">
    <w:name w:val="Bordered &amp; Lined - Accent 3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935">
    <w:name w:val="Bordered &amp; Lined - Accent 4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936">
    <w:name w:val="Bordered &amp; Lined - Accent 5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937">
    <w:name w:val="Bordered &amp; Lined - Accent 6"/>
    <w:basedOn w:val="96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938">
    <w:name w:val="Bordered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939">
    <w:name w:val="Bordered - Accent 1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940">
    <w:name w:val="Bordered - Accent 2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941">
    <w:name w:val="Bordered - Accent 3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942">
    <w:name w:val="Bordered - Accent 4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943">
    <w:name w:val="Bordered - Accent 5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944">
    <w:name w:val="Bordered - Accent 6"/>
    <w:basedOn w:val="96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945">
    <w:name w:val="Footnote Text Char"/>
    <w:link w:val="978"/>
    <w:uiPriority w:val="99"/>
    <w:rPr>
      <w:sz w:val="18"/>
    </w:rPr>
  </w:style>
  <w:style w:type="paragraph" w:styleId="946">
    <w:name w:val="endnote text"/>
    <w:basedOn w:val="960"/>
    <w:link w:val="947"/>
    <w:uiPriority w:val="99"/>
    <w:semiHidden/>
    <w:unhideWhenUsed/>
    <w:pPr>
      <w:spacing w:after="0" w:line="240" w:lineRule="auto"/>
    </w:pPr>
    <w:rPr>
      <w:sz w:val="20"/>
    </w:rPr>
  </w:style>
  <w:style w:type="character" w:styleId="947">
    <w:name w:val="Endnote Text Char"/>
    <w:link w:val="946"/>
    <w:uiPriority w:val="99"/>
    <w:rPr>
      <w:sz w:val="20"/>
    </w:rPr>
  </w:style>
  <w:style w:type="character" w:styleId="948">
    <w:name w:val="endnote reference"/>
    <w:basedOn w:val="964"/>
    <w:uiPriority w:val="99"/>
    <w:semiHidden/>
    <w:unhideWhenUsed/>
    <w:rPr>
      <w:vertAlign w:val="superscript"/>
    </w:rPr>
  </w:style>
  <w:style w:type="paragraph" w:styleId="949">
    <w:name w:val="toc 1"/>
    <w:basedOn w:val="960"/>
    <w:next w:val="960"/>
    <w:uiPriority w:val="39"/>
    <w:unhideWhenUsed/>
    <w:pPr>
      <w:spacing w:after="57"/>
      <w:ind w:left="0" w:right="0" w:firstLine="0"/>
    </w:pPr>
  </w:style>
  <w:style w:type="paragraph" w:styleId="950">
    <w:name w:val="toc 2"/>
    <w:basedOn w:val="960"/>
    <w:next w:val="960"/>
    <w:uiPriority w:val="39"/>
    <w:unhideWhenUsed/>
    <w:pPr>
      <w:spacing w:after="57"/>
      <w:ind w:left="283" w:right="0" w:firstLine="0"/>
    </w:pPr>
  </w:style>
  <w:style w:type="paragraph" w:styleId="951">
    <w:name w:val="toc 3"/>
    <w:basedOn w:val="960"/>
    <w:next w:val="960"/>
    <w:uiPriority w:val="39"/>
    <w:unhideWhenUsed/>
    <w:pPr>
      <w:spacing w:after="57"/>
      <w:ind w:left="567" w:right="0" w:firstLine="0"/>
    </w:pPr>
  </w:style>
  <w:style w:type="paragraph" w:styleId="952">
    <w:name w:val="toc 4"/>
    <w:basedOn w:val="960"/>
    <w:next w:val="960"/>
    <w:uiPriority w:val="39"/>
    <w:unhideWhenUsed/>
    <w:pPr>
      <w:spacing w:after="57"/>
      <w:ind w:left="850" w:right="0" w:firstLine="0"/>
    </w:pPr>
  </w:style>
  <w:style w:type="paragraph" w:styleId="953">
    <w:name w:val="toc 5"/>
    <w:basedOn w:val="960"/>
    <w:next w:val="960"/>
    <w:uiPriority w:val="39"/>
    <w:unhideWhenUsed/>
    <w:pPr>
      <w:spacing w:after="57"/>
      <w:ind w:left="1134" w:right="0" w:firstLine="0"/>
    </w:pPr>
  </w:style>
  <w:style w:type="paragraph" w:styleId="954">
    <w:name w:val="toc 6"/>
    <w:basedOn w:val="960"/>
    <w:next w:val="960"/>
    <w:uiPriority w:val="39"/>
    <w:unhideWhenUsed/>
    <w:pPr>
      <w:spacing w:after="57"/>
      <w:ind w:left="1417" w:right="0" w:firstLine="0"/>
    </w:pPr>
  </w:style>
  <w:style w:type="paragraph" w:styleId="955">
    <w:name w:val="toc 7"/>
    <w:basedOn w:val="960"/>
    <w:next w:val="960"/>
    <w:uiPriority w:val="39"/>
    <w:unhideWhenUsed/>
    <w:pPr>
      <w:spacing w:after="57"/>
      <w:ind w:left="1701" w:right="0" w:firstLine="0"/>
    </w:pPr>
  </w:style>
  <w:style w:type="paragraph" w:styleId="956">
    <w:name w:val="toc 8"/>
    <w:basedOn w:val="960"/>
    <w:next w:val="960"/>
    <w:uiPriority w:val="39"/>
    <w:unhideWhenUsed/>
    <w:pPr>
      <w:spacing w:after="57"/>
      <w:ind w:left="1984" w:right="0" w:firstLine="0"/>
    </w:pPr>
  </w:style>
  <w:style w:type="paragraph" w:styleId="957">
    <w:name w:val="toc 9"/>
    <w:basedOn w:val="960"/>
    <w:next w:val="960"/>
    <w:uiPriority w:val="39"/>
    <w:unhideWhenUsed/>
    <w:pPr>
      <w:spacing w:after="57"/>
      <w:ind w:left="2268" w:right="0" w:firstLine="0"/>
    </w:pPr>
  </w:style>
  <w:style w:type="paragraph" w:styleId="958">
    <w:name w:val="TOC Heading"/>
    <w:uiPriority w:val="39"/>
    <w:unhideWhenUsed/>
  </w:style>
  <w:style w:type="paragraph" w:styleId="959">
    <w:name w:val="table of figures"/>
    <w:basedOn w:val="960"/>
    <w:next w:val="960"/>
    <w:uiPriority w:val="99"/>
    <w:unhideWhenUsed/>
    <w:pPr>
      <w:spacing w:after="0" w:afterAutospacing="0"/>
    </w:pPr>
  </w:style>
  <w:style w:type="paragraph" w:styleId="960" w:default="1">
    <w:name w:val="Normal"/>
    <w:qFormat/>
    <w:pPr>
      <w:spacing w:line="240" w:lineRule="auto"/>
      <w:ind w:firstLine="708"/>
      <w:contextualSpacing/>
      <w:jc w:val="both"/>
    </w:pPr>
    <w:rPr>
      <w:rFonts w:ascii="Times New Roman" w:hAnsi="Times New Roman" w:eastAsia="Calibri" w:cs="Times New Roman"/>
      <w:b/>
      <w:bCs/>
      <w:color w:val="000000"/>
      <w:sz w:val="28"/>
      <w:szCs w:val="28"/>
      <w:shd w:val="clear" w:color="ffffff" w:themeColor="background1" w:fill="ffffff" w:themeFill="background1"/>
    </w:rPr>
  </w:style>
  <w:style w:type="paragraph" w:styleId="961">
    <w:name w:val="Heading 1"/>
    <w:basedOn w:val="960"/>
    <w:link w:val="967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paragraph" w:styleId="962">
    <w:name w:val="Heading 2"/>
    <w:basedOn w:val="960"/>
    <w:next w:val="960"/>
    <w:link w:val="984"/>
    <w:uiPriority w:val="9"/>
    <w:unhideWhenUsed/>
    <w:qFormat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963">
    <w:name w:val="Heading 3"/>
    <w:basedOn w:val="960"/>
    <w:next w:val="960"/>
    <w:link w:val="1005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hAnsiTheme="majorHAnsi" w:eastAsiaTheme="majorEastAsia" w:cstheme="majorBidi"/>
      <w:color w:val="243f60" w:themeColor="accent1" w:themeShade="7F"/>
      <w:sz w:val="24"/>
      <w:szCs w:val="24"/>
    </w:rPr>
  </w:style>
  <w:style w:type="character" w:styleId="964" w:default="1">
    <w:name w:val="Default Paragraph Font"/>
    <w:uiPriority w:val="1"/>
    <w:semiHidden/>
    <w:unhideWhenUsed/>
  </w:style>
  <w:style w:type="table" w:styleId="965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966" w:default="1">
    <w:name w:val="No List"/>
    <w:uiPriority w:val="99"/>
    <w:semiHidden/>
    <w:unhideWhenUsed/>
  </w:style>
  <w:style w:type="character" w:styleId="967" w:customStyle="1">
    <w:name w:val="Заголовок 1 Знак"/>
    <w:basedOn w:val="964"/>
    <w:link w:val="961"/>
    <w:uiPriority w:val="9"/>
    <w:rPr>
      <w:rFonts w:ascii="Times New Roman" w:hAnsi="Times New Roman" w:eastAsia="Times New Roman" w:cs="Times New Roman"/>
      <w:b/>
      <w:bCs/>
      <w:sz w:val="48"/>
      <w:szCs w:val="48"/>
      <w:lang w:eastAsia="ru-RU"/>
    </w:rPr>
  </w:style>
  <w:style w:type="paragraph" w:styleId="968" w:customStyle="1">
    <w:name w:val="ConsPlusNormal"/>
    <w:link w:val="969"/>
    <w:pPr>
      <w:widowControl w:val="off"/>
      <w:spacing w:after="0" w:line="240" w:lineRule="auto"/>
      <w:ind w:firstLine="720"/>
    </w:pPr>
    <w:rPr>
      <w:rFonts w:ascii="Arial" w:hAnsi="Arial" w:eastAsia="Times New Roman" w:cs="Arial"/>
      <w:sz w:val="20"/>
      <w:szCs w:val="20"/>
      <w:lang w:eastAsia="ru-RU"/>
    </w:rPr>
  </w:style>
  <w:style w:type="character" w:styleId="969" w:customStyle="1">
    <w:name w:val="ConsPlusNormal Знак"/>
    <w:basedOn w:val="964"/>
    <w:link w:val="968"/>
    <w:rPr>
      <w:rFonts w:ascii="Arial" w:hAnsi="Arial" w:eastAsia="Times New Roman" w:cs="Arial"/>
      <w:sz w:val="20"/>
      <w:szCs w:val="20"/>
      <w:lang w:eastAsia="ru-RU"/>
    </w:rPr>
  </w:style>
  <w:style w:type="character" w:styleId="970">
    <w:name w:val="Hyperlink"/>
    <w:basedOn w:val="964"/>
    <w:unhideWhenUsed/>
    <w:rPr>
      <w:color w:val="0000ff"/>
      <w:u w:val="single"/>
    </w:rPr>
  </w:style>
  <w:style w:type="paragraph" w:styleId="971">
    <w:name w:val="Header"/>
    <w:basedOn w:val="960"/>
    <w:link w:val="972"/>
    <w:uiPriority w:val="99"/>
    <w:pPr>
      <w:tabs>
        <w:tab w:val="center" w:pos="4677" w:leader="none"/>
        <w:tab w:val="right" w:pos="9355" w:leader="none"/>
      </w:tabs>
      <w:spacing w:after="0" w:line="240" w:lineRule="auto"/>
    </w:pPr>
    <w:rPr>
      <w:rFonts w:ascii="Times New Roman" w:hAnsi="Times New Roman" w:eastAsia="Calibri" w:cs="Times New Roman"/>
      <w:bCs/>
      <w:color w:val="000000"/>
      <w:sz w:val="24"/>
      <w:szCs w:val="24"/>
      <w:lang w:eastAsia="ru-RU"/>
    </w:rPr>
  </w:style>
  <w:style w:type="character" w:styleId="972" w:customStyle="1">
    <w:name w:val="Верхний колонтитул Знак"/>
    <w:basedOn w:val="964"/>
    <w:link w:val="971"/>
    <w:uiPriority w:val="99"/>
    <w:rPr>
      <w:rFonts w:ascii="Times New Roman" w:hAnsi="Times New Roman" w:eastAsia="Calibri" w:cs="Times New Roman"/>
      <w:bCs/>
      <w:color w:val="000000"/>
      <w:sz w:val="24"/>
      <w:szCs w:val="24"/>
      <w:lang w:eastAsia="ru-RU"/>
    </w:rPr>
  </w:style>
  <w:style w:type="character" w:styleId="973" w:customStyle="1">
    <w:name w:val="title1"/>
    <w:basedOn w:val="964"/>
  </w:style>
  <w:style w:type="paragraph" w:styleId="974">
    <w:name w:val="Balloon Text"/>
    <w:basedOn w:val="960"/>
    <w:link w:val="975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975" w:customStyle="1">
    <w:name w:val="Текст выноски Знак"/>
    <w:basedOn w:val="964"/>
    <w:link w:val="974"/>
    <w:uiPriority w:val="99"/>
    <w:semiHidden/>
    <w:rPr>
      <w:rFonts w:ascii="Tahoma" w:hAnsi="Tahoma" w:cs="Tahoma"/>
      <w:sz w:val="16"/>
      <w:szCs w:val="16"/>
    </w:rPr>
  </w:style>
  <w:style w:type="paragraph" w:styleId="976">
    <w:name w:val="Normal (Web)"/>
    <w:basedOn w:val="960"/>
    <w:uiPriority w:val="99"/>
    <w:unhideWhenUsed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977">
    <w:name w:val="Table Grid"/>
    <w:basedOn w:val="965"/>
    <w:uiPriority w:val="3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978">
    <w:name w:val="footnote text"/>
    <w:basedOn w:val="960"/>
    <w:link w:val="979"/>
    <w:uiPriority w:val="99"/>
    <w:unhideWhenUsed/>
    <w:pPr>
      <w:spacing w:after="0" w:line="240" w:lineRule="auto"/>
    </w:pPr>
    <w:rPr>
      <w:sz w:val="20"/>
      <w:szCs w:val="20"/>
    </w:rPr>
  </w:style>
  <w:style w:type="character" w:styleId="979" w:customStyle="1">
    <w:name w:val="Текст сноски Знак"/>
    <w:basedOn w:val="964"/>
    <w:link w:val="978"/>
    <w:uiPriority w:val="99"/>
    <w:rPr>
      <w:sz w:val="20"/>
      <w:szCs w:val="20"/>
    </w:rPr>
  </w:style>
  <w:style w:type="character" w:styleId="980">
    <w:name w:val="footnote reference"/>
    <w:basedOn w:val="964"/>
    <w:uiPriority w:val="99"/>
    <w:unhideWhenUsed/>
    <w:rPr>
      <w:vertAlign w:val="superscript"/>
    </w:rPr>
  </w:style>
  <w:style w:type="paragraph" w:styleId="981">
    <w:name w:val="List Paragraph"/>
    <w:basedOn w:val="960"/>
    <w:uiPriority w:val="34"/>
    <w:qFormat/>
    <w:pPr>
      <w:spacing w:after="160" w:line="259" w:lineRule="auto"/>
      <w:ind w:left="720"/>
      <w:contextualSpacing/>
    </w:pPr>
  </w:style>
  <w:style w:type="paragraph" w:styleId="982">
    <w:name w:val="Body Text"/>
    <w:basedOn w:val="960"/>
    <w:link w:val="983"/>
    <w:uiPriority w:val="1"/>
    <w:qFormat/>
    <w:pPr>
      <w:widowControl w:val="off"/>
      <w:spacing w:after="0" w:line="240" w:lineRule="auto"/>
    </w:pPr>
    <w:rPr>
      <w:rFonts w:ascii="Times New Roman" w:hAnsi="Times New Roman" w:eastAsia="Times New Roman" w:cs="Times New Roman"/>
      <w:sz w:val="28"/>
      <w:szCs w:val="28"/>
    </w:rPr>
  </w:style>
  <w:style w:type="character" w:styleId="983" w:customStyle="1">
    <w:name w:val="Основной текст Знак"/>
    <w:basedOn w:val="964"/>
    <w:link w:val="982"/>
    <w:uiPriority w:val="1"/>
    <w:rPr>
      <w:rFonts w:ascii="Times New Roman" w:hAnsi="Times New Roman" w:eastAsia="Times New Roman" w:cs="Times New Roman"/>
      <w:sz w:val="28"/>
      <w:szCs w:val="28"/>
    </w:rPr>
  </w:style>
  <w:style w:type="character" w:styleId="984" w:customStyle="1">
    <w:name w:val="Заголовок 2 Знак"/>
    <w:basedOn w:val="964"/>
    <w:link w:val="962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985" w:customStyle="1">
    <w:name w:val="Абзац списка1"/>
    <w:basedOn w:val="960"/>
    <w:pPr>
      <w:spacing w:after="0" w:line="240" w:lineRule="auto"/>
      <w:ind w:left="720"/>
      <w:contextualSpacing/>
    </w:pPr>
    <w:rPr>
      <w:rFonts w:ascii="Times New Roman" w:hAnsi="Times New Roman" w:eastAsia="Calibri" w:cs="Times New Roman"/>
      <w:sz w:val="24"/>
      <w:szCs w:val="24"/>
      <w:lang w:eastAsia="ru-RU"/>
    </w:rPr>
  </w:style>
  <w:style w:type="character" w:styleId="986">
    <w:name w:val="Strong"/>
    <w:basedOn w:val="964"/>
    <w:uiPriority w:val="22"/>
    <w:qFormat/>
    <w:rPr>
      <w:b/>
      <w:bCs/>
    </w:rPr>
  </w:style>
  <w:style w:type="character" w:styleId="987" w:customStyle="1">
    <w:name w:val="news__arrowdesktop"/>
    <w:basedOn w:val="964"/>
  </w:style>
  <w:style w:type="paragraph" w:styleId="988" w:customStyle="1">
    <w:name w:val="align_center"/>
    <w:basedOn w:val="96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989" w:customStyle="1">
    <w:name w:val="no-indent"/>
    <w:basedOn w:val="96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990">
    <w:name w:val="No Spacing"/>
    <w:link w:val="1003"/>
    <w:uiPriority w:val="1"/>
    <w:qFormat/>
    <w:pPr>
      <w:spacing w:after="0" w:line="240" w:lineRule="auto"/>
    </w:pPr>
  </w:style>
  <w:style w:type="character" w:styleId="991" w:customStyle="1">
    <w:name w:val="Текст примечания Знак"/>
    <w:basedOn w:val="964"/>
    <w:link w:val="992"/>
    <w:uiPriority w:val="99"/>
    <w:semiHidden/>
    <w:rPr>
      <w:sz w:val="20"/>
      <w:szCs w:val="20"/>
    </w:rPr>
  </w:style>
  <w:style w:type="paragraph" w:styleId="992">
    <w:name w:val="annotation text"/>
    <w:basedOn w:val="960"/>
    <w:link w:val="991"/>
    <w:uiPriority w:val="99"/>
    <w:semiHidden/>
    <w:unhideWhenUsed/>
    <w:pPr>
      <w:spacing w:after="160" w:line="240" w:lineRule="auto"/>
    </w:pPr>
    <w:rPr>
      <w:sz w:val="20"/>
      <w:szCs w:val="20"/>
    </w:rPr>
  </w:style>
  <w:style w:type="character" w:styleId="993" w:customStyle="1">
    <w:name w:val="Текст примечания Знак1"/>
    <w:basedOn w:val="964"/>
    <w:uiPriority w:val="99"/>
    <w:semiHidden/>
    <w:rPr>
      <w:sz w:val="20"/>
      <w:szCs w:val="20"/>
    </w:rPr>
  </w:style>
  <w:style w:type="character" w:styleId="994" w:customStyle="1">
    <w:name w:val="Тема примечания Знак"/>
    <w:basedOn w:val="991"/>
    <w:link w:val="995"/>
    <w:uiPriority w:val="99"/>
    <w:semiHidden/>
    <w:rPr>
      <w:b/>
      <w:bCs/>
      <w:sz w:val="20"/>
      <w:szCs w:val="20"/>
    </w:rPr>
  </w:style>
  <w:style w:type="paragraph" w:styleId="995">
    <w:name w:val="annotation subject"/>
    <w:basedOn w:val="992"/>
    <w:next w:val="992"/>
    <w:link w:val="994"/>
    <w:uiPriority w:val="99"/>
    <w:semiHidden/>
    <w:unhideWhenUsed/>
    <w:rPr>
      <w:b/>
      <w:bCs/>
    </w:rPr>
  </w:style>
  <w:style w:type="character" w:styleId="996" w:customStyle="1">
    <w:name w:val="Тема примечания Знак1"/>
    <w:basedOn w:val="993"/>
    <w:uiPriority w:val="99"/>
    <w:semiHidden/>
    <w:rPr>
      <w:b/>
      <w:bCs/>
      <w:sz w:val="20"/>
      <w:szCs w:val="20"/>
    </w:rPr>
  </w:style>
  <w:style w:type="paragraph" w:styleId="997">
    <w:name w:val="Footer"/>
    <w:basedOn w:val="960"/>
    <w:link w:val="998"/>
    <w:uiPriority w:val="99"/>
    <w:unhideWhenUsed/>
    <w:pPr>
      <w:tabs>
        <w:tab w:val="center" w:pos="4677" w:leader="none"/>
        <w:tab w:val="right" w:pos="9355" w:leader="none"/>
      </w:tabs>
      <w:spacing w:after="0" w:line="240" w:lineRule="auto"/>
    </w:pPr>
  </w:style>
  <w:style w:type="character" w:styleId="998" w:customStyle="1">
    <w:name w:val="Нижний колонтитул Знак"/>
    <w:basedOn w:val="964"/>
    <w:link w:val="997"/>
    <w:uiPriority w:val="99"/>
  </w:style>
  <w:style w:type="paragraph" w:styleId="999" w:customStyle="1">
    <w:name w:val="Style4"/>
    <w:basedOn w:val="960"/>
    <w:uiPriority w:val="99"/>
    <w:pPr>
      <w:widowControl w:val="off"/>
      <w:spacing w:after="0" w:line="323" w:lineRule="exact"/>
      <w:ind w:firstLine="845"/>
      <w:jc w:val="both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character" w:styleId="1000" w:customStyle="1">
    <w:name w:val="Font Style20"/>
    <w:basedOn w:val="964"/>
    <w:uiPriority w:val="99"/>
    <w:rPr>
      <w:rFonts w:ascii="Times New Roman" w:hAnsi="Times New Roman" w:cs="Times New Roman"/>
      <w:sz w:val="26"/>
      <w:szCs w:val="26"/>
    </w:rPr>
  </w:style>
  <w:style w:type="paragraph" w:styleId="1001" w:customStyle="1">
    <w:name w:val="Style8"/>
    <w:basedOn w:val="960"/>
    <w:uiPriority w:val="99"/>
    <w:pPr>
      <w:widowControl w:val="off"/>
      <w:spacing w:after="0" w:line="240" w:lineRule="auto"/>
      <w:jc w:val="both"/>
    </w:pPr>
    <w:rPr>
      <w:rFonts w:ascii="Times New Roman" w:hAnsi="Times New Roman" w:cs="Times New Roman" w:eastAsiaTheme="minorEastAsia"/>
      <w:sz w:val="24"/>
      <w:szCs w:val="24"/>
      <w:lang w:eastAsia="ru-RU"/>
    </w:rPr>
  </w:style>
  <w:style w:type="paragraph" w:styleId="1002" w:customStyle="1">
    <w:name w:val="ConsPlusTitle"/>
    <w:uiPriority w:val="99"/>
    <w:pPr>
      <w:widowControl w:val="off"/>
      <w:spacing w:after="0" w:line="240" w:lineRule="auto"/>
    </w:pPr>
    <w:rPr>
      <w:rFonts w:ascii="Arial" w:hAnsi="Arial" w:eastAsia="Times New Roman" w:cs="Arial"/>
      <w:b/>
      <w:bCs/>
      <w:sz w:val="20"/>
      <w:szCs w:val="20"/>
      <w:lang w:eastAsia="ru-RU"/>
    </w:rPr>
  </w:style>
  <w:style w:type="character" w:styleId="1003" w:customStyle="1">
    <w:name w:val="Без интервала Знак"/>
    <w:link w:val="990"/>
    <w:uiPriority w:val="1"/>
  </w:style>
  <w:style w:type="paragraph" w:styleId="1004" w:customStyle="1">
    <w:name w:val="Style11"/>
    <w:basedOn w:val="960"/>
    <w:uiPriority w:val="99"/>
    <w:pPr>
      <w:widowControl w:val="off"/>
      <w:spacing w:after="0" w:line="371" w:lineRule="exact"/>
      <w:jc w:val="both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1005" w:customStyle="1">
    <w:name w:val="Заголовок 3 Знак"/>
    <w:basedOn w:val="964"/>
    <w:link w:val="963"/>
    <w:uiPriority w:val="9"/>
    <w:semiHidden/>
    <w:rPr>
      <w:rFonts w:asciiTheme="majorHAnsi" w:hAnsiTheme="majorHAnsi" w:eastAsiaTheme="majorEastAsia" w:cstheme="majorBidi"/>
      <w:color w:val="243f60" w:themeColor="accent1" w:themeShade="7F"/>
      <w:sz w:val="24"/>
      <w:szCs w:val="24"/>
    </w:rPr>
  </w:style>
  <w:style w:type="paragraph" w:styleId="1006" w:customStyle="1">
    <w:name w:val="Style17"/>
    <w:basedOn w:val="960"/>
    <w:uiPriority w:val="99"/>
    <w:pPr>
      <w:widowControl w:val="off"/>
      <w:spacing w:after="0" w:line="370" w:lineRule="exact"/>
      <w:ind w:firstLine="706"/>
      <w:jc w:val="both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07" w:customStyle="1">
    <w:name w:val="u"/>
    <w:basedOn w:val="96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1008" w:customStyle="1">
    <w:name w:val="Сетка таблицы1"/>
    <w:basedOn w:val="965"/>
    <w:next w:val="977"/>
    <w:uiPriority w:val="39"/>
    <w:pPr>
      <w:spacing w:after="0" w:line="240" w:lineRule="auto"/>
    </w:pPr>
    <w:rPr>
      <w:rFonts w:ascii="Calibri" w:hAnsi="Calibri" w:eastAsia="Calibri" w:cs="Times New Roman"/>
      <w:sz w:val="20"/>
      <w:szCs w:val="20"/>
      <w:lang w:eastAsia="ru-RU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1009" w:customStyle="1">
    <w:name w:val="Абзац списка"/>
    <w:uiPriority w:val="34"/>
    <w:qFormat/>
    <w:pPr>
      <w:keepNext w:val="0"/>
      <w:keepLines w:val="0"/>
      <w:pageBreakBefore w:val="0"/>
      <w:widowControl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0" w:beforeAutospacing="0" w:after="0" w:afterAutospacing="0" w:line="240" w:lineRule="auto"/>
      <w:ind w:left="720" w:right="0" w:firstLine="709"/>
      <w:contextualSpacing/>
      <w:jc w:val="both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8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paragraph" w:styleId="1010" w:customStyle="1">
    <w:name w:val="Обычный (веб)"/>
    <w:uiPriority w:val="99"/>
    <w:unhideWhenUsed/>
    <w:pPr>
      <w:keepNext w:val="0"/>
      <w:keepLines w:val="0"/>
      <w:pageBreakBefore w:val="0"/>
      <w:widowControl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100" w:beforeAutospacing="1" w:after="100" w:afterAutospacing="1" w:line="240" w:lineRule="auto"/>
      <w:ind w:left="0" w:right="0" w:firstLine="0"/>
      <w:contextualSpacing w:val="0"/>
      <w:jc w:val="left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11" w:customStyle="1">
    <w:name w:val="Текст сноски"/>
    <w:uiPriority w:val="99"/>
    <w:pPr>
      <w:keepNext w:val="0"/>
      <w:keepLines w:val="0"/>
      <w:pageBreakBefore w:val="0"/>
      <w:widowControl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0" w:beforeAutospacing="0" w:after="0" w:afterAutospacing="0" w:line="240" w:lineRule="auto"/>
      <w:ind w:left="0" w:right="0" w:firstLine="0"/>
      <w:contextualSpacing w:val="0"/>
      <w:jc w:val="left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en-US" w:eastAsia="ru-RU" w:bidi="ar-SA"/>
      <w14:ligatures w14:val="none"/>
    </w:rPr>
  </w:style>
  <w:style w:type="character" w:styleId="1012" w:customStyle="1">
    <w:name w:val="Знак сноски"/>
    <w:uiPriority w:val="99"/>
    <w:semiHidden/>
    <w:rPr>
      <w:vertAlign w:val="superscript"/>
    </w:rPr>
  </w:style>
  <w:style w:type="paragraph" w:styleId="1013" w:customStyle="1">
    <w:name w:val="Style1"/>
    <w:uiPriority w:val="99"/>
    <w:pPr>
      <w:keepNext w:val="0"/>
      <w:keepLines w:val="0"/>
      <w:pageBreakBefore w:val="0"/>
      <w:widowControl w:val="off"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0" w:beforeAutospacing="0" w:after="0" w:afterAutospacing="0" w:line="356" w:lineRule="exact"/>
      <w:ind w:left="0" w:right="0" w:firstLine="713"/>
      <w:contextualSpacing w:val="0"/>
      <w:jc w:val="both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14" w:customStyle="1">
    <w:name w:val="Default"/>
    <w:next w:val="961"/>
    <w:pPr>
      <w:keepNext w:val="0"/>
      <w:keepLines w:val="0"/>
      <w:pageBreakBefore w:val="0"/>
      <w:widowControl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0" w:beforeAutospacing="0" w:after="0" w:afterAutospacing="0" w:line="240" w:lineRule="auto"/>
      <w:ind w:left="0" w:right="0" w:firstLine="0"/>
      <w:contextualSpacing w:val="0"/>
      <w:jc w:val="left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000000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character" w:styleId="1015" w:customStyle="1">
    <w:name w:val="Гиперссылка"/>
    <w:uiPriority w:val="99"/>
    <w:rPr>
      <w:color w:val="0000ff"/>
      <w:u w:val="single"/>
    </w:rPr>
  </w:style>
  <w:style w:type="paragraph" w:styleId="1016" w:customStyle="1">
    <w:name w:val="Без интервала"/>
    <w:next w:val="870"/>
    <w:link w:val="798"/>
    <w:uiPriority w:val="1"/>
    <w:qFormat/>
    <w:pPr>
      <w:keepNext w:val="0"/>
      <w:keepLines w:val="0"/>
      <w:pageBreakBefore w:val="0"/>
      <w:widowControl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0" w:beforeAutospacing="0" w:after="0" w:afterAutospacing="0" w:line="240" w:lineRule="auto"/>
      <w:ind w:left="0" w:right="0" w:firstLine="0"/>
      <w:contextualSpacing w:val="0"/>
      <w:jc w:val="left"/>
    </w:pPr>
    <w:rPr>
      <w:rFonts w:ascii="Calibri" w:hAnsi="Calibri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paragraph" w:styleId="1017" w:customStyle="1">
    <w:name w:val="Заголовок 3"/>
    <w:uiPriority w:val="9"/>
    <w:unhideWhenUsed/>
    <w:qFormat/>
    <w:pPr>
      <w:keepNext/>
      <w:keepLines w:val="0"/>
      <w:pageBreakBefore w:val="0"/>
      <w:widowControl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240" w:beforeAutospacing="0" w:after="60" w:afterAutospacing="0" w:line="240" w:lineRule="auto"/>
      <w:ind w:left="0" w:right="0" w:firstLine="709"/>
      <w:contextualSpacing w:val="0"/>
      <w:jc w:val="both"/>
      <w:outlineLvl w:val="2"/>
    </w:pPr>
    <w:rPr>
      <w:rFonts w:ascii="Calibri Light" w:hAnsi="Calibri Light" w:eastAsia="Times New Roman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6"/>
      <w:szCs w:val="26"/>
      <w:highlight w:val="none"/>
      <w:u w:val="none"/>
      <w:vertAlign w:val="baseline"/>
      <w:rtl w:val="0"/>
      <w:cs w:val="0"/>
      <w:lang w:val="en-US" w:eastAsia="en-US" w:bidi="ar-SA"/>
      <w14:ligatures w14:val="none"/>
    </w:rPr>
  </w:style>
  <w:style w:type="paragraph" w:styleId="1018" w:customStyle="1">
    <w:name w:val="Text body"/>
    <w:pPr>
      <w:keepNext w:val="0"/>
      <w:keepLines w:val="0"/>
      <w:pageBreakBefore w:val="0"/>
      <w:widowControl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0" w:beforeAutospacing="0" w:after="0" w:afterAutospacing="0" w:line="240" w:lineRule="auto"/>
      <w:ind w:left="0" w:right="0" w:firstLine="0"/>
      <w:contextualSpacing w:val="0"/>
      <w:jc w:val="left"/>
    </w:pPr>
    <w:rPr>
      <w:rFonts w:ascii="Times New Roman" w:hAnsi="Times New Roman" w:eastAsia="Calibri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19" w:customStyle="1">
    <w:name w:val="ConsPlusTitlePage"/>
    <w:pPr>
      <w:keepNext w:val="0"/>
      <w:keepLines w:val="0"/>
      <w:pageBreakBefore w:val="0"/>
      <w:widowControl w:val="off"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0" w:beforeAutospacing="0" w:after="0" w:afterAutospacing="0" w:line="240" w:lineRule="auto"/>
      <w:ind w:left="0" w:right="0" w:firstLine="0"/>
      <w:contextualSpacing w:val="0"/>
      <w:jc w:val="left"/>
    </w:pPr>
    <w:rPr>
      <w:rFonts w:ascii="Tahoma" w:hAnsi="Tahoma" w:eastAsia="Times New Roman" w:cs="Tahoma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20" w:customStyle="1">
    <w:name w:val="Простой Текст"/>
    <w:qFormat/>
    <w:pPr>
      <w:keepNext w:val="0"/>
      <w:keepLines w:val="0"/>
      <w:pageBreakBefore w:val="0"/>
      <w:widowControl/>
      <w:suppressLineNumbers w:val="0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hd w:val="nil"/>
      <w:spacing w:before="0" w:beforeAutospacing="0" w:after="160" w:afterAutospacing="0" w:line="360" w:lineRule="auto"/>
      <w:ind w:left="0" w:right="0" w:firstLine="851"/>
      <w:contextualSpacing w:val="0"/>
      <w:jc w:val="both"/>
    </w:pPr>
    <w:rPr>
      <w:rFonts w:ascii="Arial" w:hAnsi="Arial" w:eastAsia="Times New Roman" w:cstheme="minorBidi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footer" Target="footer1.xml" /><Relationship Id="rId12" Type="http://schemas.openxmlformats.org/officeDocument/2006/relationships/customXml" Target="../customXml/item1.xml" /><Relationship Id="rId13" Type="http://schemas.openxmlformats.org/officeDocument/2006/relationships/image" Target="media/image1.jpg"/><Relationship Id="rId14" Type="http://schemas.openxmlformats.org/officeDocument/2006/relationships/hyperlink" Target="https://www.consultant.ru/document/cons_doc_LAW_523792/" TargetMode="External"/><Relationship Id="rId15" Type="http://schemas.openxmlformats.org/officeDocument/2006/relationships/hyperlink" Target="https://www.consultant.ru/document/cons_doc_LAW_523655/" TargetMode="External"/><Relationship Id="rId16" Type="http://schemas.openxmlformats.org/officeDocument/2006/relationships/image" Target="media/image2.png"/><Relationship Id="rId17" Type="http://schemas.openxmlformats.org/officeDocument/2006/relationships/image" Target="media/image3.png"/><Relationship Id="rId18" Type="http://schemas.openxmlformats.org/officeDocument/2006/relationships/image" Target="media/image4.png"/><Relationship Id="rId19" Type="http://schemas.openxmlformats.org/officeDocument/2006/relationships/image" Target="media/image5.png"/><Relationship Id="rId20" Type="http://schemas.openxmlformats.org/officeDocument/2006/relationships/image" Target="media/image6.png"/><Relationship Id="rId21" Type="http://schemas.openxmlformats.org/officeDocument/2006/relationships/image" Target="media/image7.png"/><Relationship Id="rId22" Type="http://schemas.openxmlformats.org/officeDocument/2006/relationships/image" Target="media/image8.png"/><Relationship Id="rId23" Type="http://schemas.openxmlformats.org/officeDocument/2006/relationships/image" Target="media/image9.png"/><Relationship Id="rId24" Type="http://schemas.openxmlformats.org/officeDocument/2006/relationships/image" Target="media/image10.png"/><Relationship Id="rId25" Type="http://schemas.openxmlformats.org/officeDocument/2006/relationships/image" Target="media/image11.png"/><Relationship Id="rId26" Type="http://schemas.openxmlformats.org/officeDocument/2006/relationships/image" Target="media/image12.png"/><Relationship Id="rId27" Type="http://schemas.openxmlformats.org/officeDocument/2006/relationships/image" Target="media/image13.png"/><Relationship Id="rId28" Type="http://schemas.openxmlformats.org/officeDocument/2006/relationships/image" Target="media/image14.png"/><Relationship Id="rId29" Type="http://schemas.openxmlformats.org/officeDocument/2006/relationships/image" Target="media/image15.png"/><Relationship Id="rId30" Type="http://schemas.openxmlformats.org/officeDocument/2006/relationships/image" Target="media/image16.png"/><Relationship Id="rId31" Type="http://schemas.openxmlformats.org/officeDocument/2006/relationships/image" Target="media/image17.png"/><Relationship Id="rId32" Type="http://schemas.openxmlformats.org/officeDocument/2006/relationships/image" Target="media/image18.png"/><Relationship Id="rId33" Type="http://schemas.openxmlformats.org/officeDocument/2006/relationships/image" Target="media/image19.png"/><Relationship Id="rId34" Type="http://schemas.openxmlformats.org/officeDocument/2006/relationships/image" Target="media/image20.png"/><Relationship Id="rId35" Type="http://schemas.openxmlformats.org/officeDocument/2006/relationships/image" Target="media/image21.png"/><Relationship Id="rId36" Type="http://schemas.openxmlformats.org/officeDocument/2006/relationships/image" Target="media/image22.png"/><Relationship Id="rId37" Type="http://schemas.openxmlformats.org/officeDocument/2006/relationships/hyperlink" Target="https://rosreestr.gov.ru/press/archive/prezident-podpisal-zakon-o-vnesudebnom-obzhalovanii-priostanovleniy/?ysclid=mkc8vi18tq429727119" TargetMode="External"/><Relationship Id="rId38" Type="http://schemas.openxmlformats.org/officeDocument/2006/relationships/hyperlink" Target="http://publication.pravo.gov.ru/document/0001202509220008?index=2" TargetMode="External"/><Relationship Id="rId39" Type="http://schemas.openxmlformats.org/officeDocument/2006/relationships/hyperlink" Target="https://rosreestr.gov.ru/activity/okazanie-gosudarstvennykh-uslug/apellyatsionnye-komissii/" TargetMode="External"/><Relationship Id="rId40" Type="http://schemas.openxmlformats.org/officeDocument/2006/relationships/hyperlink" Target="https://nspd.gov.ru/tourism-nspd" TargetMode="External"/><Relationship Id="rId41" Type="http://schemas.openxmlformats.org/officeDocument/2006/relationships/hyperlink" Target="https://nspd.gov.ru/#services_section" TargetMode="External"/><Relationship Id="rId42" Type="http://schemas.openxmlformats.org/officeDocument/2006/relationships/hyperlink" Target="https://www.gosuslugi.ru/" TargetMode="External"/><Relationship Id="rId43" Type="http://schemas.openxmlformats.org/officeDocument/2006/relationships/hyperlink" Target="https://www.mfc-nso.ru/" TargetMode="External"/><Relationship Id="rId44" Type="http://schemas.openxmlformats.org/officeDocument/2006/relationships/hyperlink" Target="https://rosreestr.gov.ru/" TargetMode="External"/><Relationship Id="rId45" Type="http://schemas.openxmlformats.org/officeDocument/2006/relationships/hyperlink" Target="https://kadastr.ru/" TargetMode="External"/><Relationship Id="rId46" Type="http://schemas.openxmlformats.org/officeDocument/2006/relationships/hyperlink" Target="https://dizo.nso.ru/" TargetMode="External"/><Relationship Id="rId47" Type="http://schemas.openxmlformats.org/officeDocument/2006/relationships/hyperlink" Target="https://www.gosuslugi.ru/crt" TargetMode="External"/><Relationship Id="rId48" Type="http://schemas.openxmlformats.org/officeDocument/2006/relationships/hyperlink" Target="https://rosreestr.gov.ru/open-service/obzor-zakonov-o-nedvizhimosti/ca-250618-kak-zashchitit-nedvizhimost-ot-moshennikov/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D1D05F-EA87-412F-94C7-22C86E3B37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Р7-Офис/2025.2.2.831</Application>
  <Company>Microsoft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ziaa</dc:creator>
  <cp:keywords/>
  <dc:description/>
  <cp:lastModifiedBy>kdc</cp:lastModifiedBy>
  <cp:revision>86</cp:revision>
  <dcterms:created xsi:type="dcterms:W3CDTF">2023-01-26T03:20:00Z</dcterms:created>
  <dcterms:modified xsi:type="dcterms:W3CDTF">2026-02-09T01:52:13Z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2318364</vt:lpwstr>
  </property>
  <property fmtid="{D5CDD505-2E9C-101B-9397-08002B2CF9AE}" pid="3" name="NXPowerLiteSettings">
    <vt:lpwstr>E7000400038000</vt:lpwstr>
  </property>
  <property fmtid="{D5CDD505-2E9C-101B-9397-08002B2CF9AE}" pid="4" name="NXPowerLiteVersion">
    <vt:lpwstr>S10.9.5</vt:lpwstr>
  </property>
</Properties>
</file>